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9B4" w:rsidRPr="00410D67" w:rsidRDefault="002569B4" w:rsidP="00F97FC5">
      <w:pPr>
        <w:tabs>
          <w:tab w:val="center" w:pos="4536"/>
          <w:tab w:val="right" w:pos="7938"/>
          <w:tab w:val="right" w:pos="9639"/>
        </w:tabs>
        <w:spacing w:after="0" w:line="360" w:lineRule="auto"/>
        <w:ind w:right="2"/>
        <w:jc w:val="left"/>
        <w:rPr>
          <w:rFonts w:eastAsia="Batang"/>
          <w:b/>
          <w:bCs/>
          <w:sz w:val="28"/>
          <w:szCs w:val="24"/>
        </w:rPr>
      </w:pPr>
      <w:r w:rsidRPr="00410D67">
        <w:rPr>
          <w:b/>
          <w:noProof/>
          <w:lang w:eastAsia="zh-CN"/>
        </w:rPr>
        <mc:AlternateContent>
          <mc:Choice Requires="wps">
            <w:drawing>
              <wp:anchor distT="0" distB="0" distL="114300" distR="114300" simplePos="0" relativeHeight="251659264" behindDoc="0" locked="1" layoutInCell="1" allowOverlap="1" wp14:anchorId="36C791D4" wp14:editId="213233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DC1E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_Hlk171003560"/>
      <w:r w:rsidRPr="00410D67">
        <w:rPr>
          <w:rFonts w:eastAsia="Batang"/>
          <w:b/>
          <w:bCs/>
          <w:sz w:val="28"/>
          <w:szCs w:val="24"/>
        </w:rPr>
        <w:t>3GPP TSG RAN WG1 #1</w:t>
      </w:r>
      <w:r w:rsidR="00410D67" w:rsidRPr="00410D67">
        <w:rPr>
          <w:b/>
          <w:bCs/>
          <w:sz w:val="28"/>
          <w:szCs w:val="24"/>
          <w:lang w:eastAsia="zh-CN"/>
        </w:rPr>
        <w:t>21</w:t>
      </w:r>
      <w:r w:rsidR="00041854">
        <w:rPr>
          <w:rFonts w:eastAsia="Batang"/>
          <w:b/>
          <w:bCs/>
          <w:sz w:val="28"/>
          <w:szCs w:val="24"/>
        </w:rPr>
        <w:t xml:space="preserve">      </w:t>
      </w:r>
      <w:r w:rsidR="00041854">
        <w:rPr>
          <w:rFonts w:eastAsia="Batang"/>
          <w:b/>
          <w:bCs/>
          <w:sz w:val="28"/>
          <w:szCs w:val="24"/>
        </w:rPr>
        <w:tab/>
        <w:t xml:space="preserve"> </w:t>
      </w:r>
      <w:r w:rsidRPr="00410D67">
        <w:rPr>
          <w:rFonts w:eastAsia="Batang"/>
          <w:b/>
          <w:bCs/>
          <w:sz w:val="28"/>
          <w:szCs w:val="24"/>
        </w:rPr>
        <w:t xml:space="preserve">                                   </w:t>
      </w:r>
      <w:r w:rsidRPr="00410D67">
        <w:rPr>
          <w:rFonts w:eastAsia="Batang"/>
          <w:b/>
          <w:bCs/>
          <w:sz w:val="28"/>
          <w:szCs w:val="24"/>
        </w:rPr>
        <w:tab/>
        <w:t>R1-2</w:t>
      </w:r>
      <w:r w:rsidR="00410D67" w:rsidRPr="00410D67">
        <w:rPr>
          <w:b/>
          <w:bCs/>
          <w:sz w:val="28"/>
          <w:szCs w:val="24"/>
          <w:lang w:eastAsia="zh-CN"/>
        </w:rPr>
        <w:t>5</w:t>
      </w:r>
      <w:r w:rsidR="00041854">
        <w:rPr>
          <w:b/>
          <w:bCs/>
          <w:sz w:val="28"/>
          <w:szCs w:val="24"/>
          <w:lang w:eastAsia="zh-CN"/>
        </w:rPr>
        <w:t>03531</w:t>
      </w:r>
    </w:p>
    <w:bookmarkEnd w:id="0"/>
    <w:p w:rsidR="00B95CAA" w:rsidRPr="00332373" w:rsidRDefault="00B95CAA" w:rsidP="00B95CAA">
      <w:pPr>
        <w:pBdr>
          <w:bottom w:val="single" w:sz="6" w:space="1" w:color="auto"/>
        </w:pBdr>
        <w:tabs>
          <w:tab w:val="center" w:pos="4536"/>
          <w:tab w:val="right" w:pos="8280"/>
          <w:tab w:val="right" w:pos="9639"/>
        </w:tabs>
        <w:spacing w:after="0" w:line="360" w:lineRule="auto"/>
        <w:ind w:right="2"/>
        <w:rPr>
          <w:rFonts w:eastAsia="MS Mincho"/>
          <w:b/>
          <w:bCs/>
          <w:sz w:val="28"/>
          <w:lang w:eastAsia="ja-JP"/>
        </w:rPr>
      </w:pPr>
      <w:r w:rsidRPr="00A37A19">
        <w:rPr>
          <w:rFonts w:eastAsia="MS Mincho"/>
          <w:b/>
          <w:bCs/>
          <w:sz w:val="28"/>
          <w:lang w:eastAsia="ja-JP"/>
        </w:rPr>
        <w:t>Saint Julian, Malta, May 19th – 23th, 2025</w:t>
      </w:r>
    </w:p>
    <w:p w:rsidR="002569B4" w:rsidRPr="00410D67" w:rsidRDefault="002569B4" w:rsidP="00F97FC5">
      <w:pPr>
        <w:spacing w:after="0" w:line="360" w:lineRule="auto"/>
        <w:ind w:left="1555" w:hanging="1555"/>
        <w:jc w:val="left"/>
        <w:rPr>
          <w:rFonts w:eastAsia="MS PGothic"/>
          <w:b/>
          <w:sz w:val="24"/>
          <w:lang w:eastAsia="zh-CN"/>
        </w:rPr>
      </w:pPr>
      <w:r w:rsidRPr="00410D67">
        <w:rPr>
          <w:b/>
          <w:sz w:val="24"/>
        </w:rPr>
        <w:t>Agenda Item:</w:t>
      </w:r>
      <w:r w:rsidRPr="00410D67">
        <w:rPr>
          <w:b/>
          <w:sz w:val="24"/>
        </w:rPr>
        <w:tab/>
        <w:t>9.11.5</w:t>
      </w:r>
    </w:p>
    <w:p w:rsidR="002569B4" w:rsidRPr="00410D67" w:rsidRDefault="002569B4" w:rsidP="00F97FC5">
      <w:pPr>
        <w:spacing w:after="0" w:line="360" w:lineRule="auto"/>
        <w:ind w:left="1555" w:hanging="1555"/>
        <w:jc w:val="left"/>
        <w:rPr>
          <w:b/>
          <w:sz w:val="24"/>
          <w:lang w:eastAsia="zh-CN"/>
        </w:rPr>
      </w:pPr>
      <w:r w:rsidRPr="00410D67">
        <w:rPr>
          <w:b/>
          <w:sz w:val="24"/>
        </w:rPr>
        <w:t>Source:</w:t>
      </w:r>
      <w:r w:rsidRPr="00410D67">
        <w:rPr>
          <w:b/>
          <w:sz w:val="24"/>
        </w:rPr>
        <w:tab/>
      </w:r>
      <w:r w:rsidRPr="00410D67">
        <w:rPr>
          <w:b/>
          <w:sz w:val="24"/>
          <w:lang w:eastAsia="zh-CN"/>
        </w:rPr>
        <w:t>Spreadtrum, UNISOC</w:t>
      </w:r>
    </w:p>
    <w:p w:rsidR="002569B4" w:rsidRPr="00410D67" w:rsidRDefault="002569B4" w:rsidP="00F97FC5">
      <w:pPr>
        <w:spacing w:after="0" w:line="360" w:lineRule="auto"/>
        <w:ind w:left="1555" w:hanging="1555"/>
        <w:jc w:val="left"/>
        <w:rPr>
          <w:b/>
          <w:sz w:val="24"/>
          <w:lang w:eastAsia="zh-CN"/>
        </w:rPr>
      </w:pPr>
      <w:r w:rsidRPr="00410D67">
        <w:rPr>
          <w:b/>
          <w:sz w:val="24"/>
        </w:rPr>
        <w:t>Title:</w:t>
      </w:r>
      <w:r w:rsidRPr="00410D67">
        <w:rPr>
          <w:b/>
          <w:sz w:val="24"/>
        </w:rPr>
        <w:tab/>
      </w:r>
      <w:r w:rsidRPr="00410D67">
        <w:rPr>
          <w:b/>
          <w:sz w:val="24"/>
          <w:lang w:eastAsia="zh-CN"/>
        </w:rPr>
        <w:t>Discussion on IoT-NTN TDD mode</w:t>
      </w:r>
    </w:p>
    <w:p w:rsidR="002569B4" w:rsidRPr="00410D67" w:rsidRDefault="002569B4" w:rsidP="00F97FC5">
      <w:pPr>
        <w:pBdr>
          <w:bottom w:val="single" w:sz="6" w:space="1" w:color="auto"/>
        </w:pBdr>
        <w:spacing w:after="0" w:line="360" w:lineRule="auto"/>
        <w:ind w:left="1555" w:hanging="1555"/>
        <w:jc w:val="left"/>
        <w:rPr>
          <w:b/>
          <w:bCs/>
          <w:sz w:val="28"/>
          <w:szCs w:val="28"/>
          <w:lang w:eastAsia="zh-CN"/>
        </w:rPr>
      </w:pPr>
      <w:r w:rsidRPr="00410D67">
        <w:rPr>
          <w:b/>
          <w:sz w:val="24"/>
        </w:rPr>
        <w:t>Document for:</w:t>
      </w:r>
      <w:r w:rsidRPr="00410D67">
        <w:rPr>
          <w:b/>
          <w:sz w:val="24"/>
        </w:rPr>
        <w:tab/>
        <w:t>Discussion and decision</w:t>
      </w:r>
    </w:p>
    <w:p w:rsidR="002569B4" w:rsidRPr="00410D67" w:rsidRDefault="002569B4" w:rsidP="00F97FC5">
      <w:pPr>
        <w:pStyle w:val="1"/>
        <w:spacing w:before="0" w:after="0" w:line="360" w:lineRule="auto"/>
        <w:jc w:val="left"/>
        <w:rPr>
          <w:lang w:eastAsia="zh-CN"/>
        </w:rPr>
      </w:pPr>
      <w:r w:rsidRPr="00410D67">
        <w:rPr>
          <w:lang w:eastAsia="zh-CN"/>
        </w:rPr>
        <w:t>Introduction</w:t>
      </w:r>
    </w:p>
    <w:p w:rsidR="002569B4" w:rsidRPr="00410D67" w:rsidRDefault="002569B4" w:rsidP="00F97FC5">
      <w:pPr>
        <w:spacing w:after="0" w:line="360" w:lineRule="auto"/>
        <w:rPr>
          <w:lang w:val="en-GB" w:eastAsia="zh-CN"/>
        </w:rPr>
      </w:pPr>
      <w:r w:rsidRPr="00410D67">
        <w:rPr>
          <w:lang w:val="en-GB" w:eastAsia="zh-CN"/>
        </w:rPr>
        <w:t>The WID on</w:t>
      </w:r>
      <w:r w:rsidRPr="00410D67">
        <w:t xml:space="preserve"> </w:t>
      </w:r>
      <w:r w:rsidRPr="00410D67">
        <w:rPr>
          <w:lang w:val="en-GB" w:eastAsia="zh-CN"/>
        </w:rPr>
        <w:t>IoT-NTN TDD mode is approved in [1]. The objectives of the work item on IoT-NTN TDD mode are the following.</w:t>
      </w:r>
    </w:p>
    <w:tbl>
      <w:tblPr>
        <w:tblStyle w:val="a3"/>
        <w:tblW w:w="0" w:type="auto"/>
        <w:tblLook w:val="04A0" w:firstRow="1" w:lastRow="0" w:firstColumn="1" w:lastColumn="0" w:noHBand="0" w:noVBand="1"/>
      </w:tblPr>
      <w:tblGrid>
        <w:gridCol w:w="9307"/>
      </w:tblGrid>
      <w:tr w:rsidR="002569B4" w:rsidRPr="00410D67" w:rsidTr="00F97FC5">
        <w:tc>
          <w:tcPr>
            <w:tcW w:w="9307" w:type="dxa"/>
          </w:tcPr>
          <w:p w:rsidR="002569B4" w:rsidRPr="00410D67" w:rsidRDefault="002569B4" w:rsidP="00F97FC5">
            <w:pPr>
              <w:spacing w:after="0" w:line="360" w:lineRule="auto"/>
              <w:rPr>
                <w:rStyle w:val="ui-provider"/>
                <w:sz w:val="20"/>
              </w:rPr>
            </w:pPr>
            <w:r w:rsidRPr="00410D67">
              <w:rPr>
                <w:sz w:val="20"/>
              </w:rPr>
              <w:t xml:space="preserve">The work item aims to specify enhancements for NB-IoT NTN to enable NTN operation with a NB-IoT TDD mode leveraging commonalities with half-duplex NB-IoT FDD NTN, by defining </w:t>
            </w:r>
            <w:r w:rsidRPr="00410D67">
              <w:rPr>
                <w:rStyle w:val="ui-provider"/>
                <w:sz w:val="20"/>
              </w:rPr>
              <w:t xml:space="preserve">a new NB-IoT TDD mode for NTN based on minimum necessary changes to the NB-IoT NTN FDD frame structure and procedures for the NB-IoT operation in the targeted unpaired MSS allocated band </w:t>
            </w:r>
            <w:r w:rsidRPr="00410D67">
              <w:rPr>
                <w:sz w:val="20"/>
              </w:rPr>
              <w:t>(TN deployment is not expected in this band)</w:t>
            </w:r>
            <w:r w:rsidRPr="00410D67">
              <w:rPr>
                <w:rStyle w:val="ui-provider"/>
                <w:sz w:val="20"/>
              </w:rPr>
              <w:t xml:space="preserve">. </w:t>
            </w:r>
            <w:r w:rsidRPr="00410D67">
              <w:rPr>
                <w:sz w:val="20"/>
              </w:rPr>
              <w:t>The feature is not intended to be applicable to existing 3GPP bands.</w:t>
            </w:r>
          </w:p>
          <w:p w:rsidR="002569B4" w:rsidRPr="00410D67" w:rsidRDefault="002569B4" w:rsidP="00F97FC5">
            <w:pPr>
              <w:spacing w:after="0" w:line="360" w:lineRule="auto"/>
              <w:rPr>
                <w:sz w:val="20"/>
              </w:rPr>
            </w:pPr>
            <w:r w:rsidRPr="00410D67">
              <w:rPr>
                <w:sz w:val="20"/>
              </w:rPr>
              <w:t>The work objectives assume the following:</w:t>
            </w:r>
          </w:p>
          <w:p w:rsidR="002569B4" w:rsidRPr="00410D67" w:rsidRDefault="002569B4" w:rsidP="00F97FC5">
            <w:pPr>
              <w:numPr>
                <w:ilvl w:val="0"/>
                <w:numId w:val="3"/>
              </w:numPr>
              <w:suppressAutoHyphens/>
              <w:overflowPunct w:val="0"/>
              <w:autoSpaceDN/>
              <w:adjustRightInd/>
              <w:snapToGrid/>
              <w:spacing w:after="0" w:line="360" w:lineRule="auto"/>
              <w:jc w:val="left"/>
              <w:textAlignment w:val="baseline"/>
              <w:rPr>
                <w:sz w:val="20"/>
              </w:rPr>
            </w:pPr>
            <w:r w:rsidRPr="00410D67">
              <w:rPr>
                <w:sz w:val="20"/>
              </w:rPr>
              <w:t xml:space="preserve">LEO @600 km and @1200 km orbit respectively, with set-1 satellite parameters as reference scenarios (See 3GPP TR 36.763) </w:t>
            </w:r>
          </w:p>
          <w:p w:rsidR="002569B4" w:rsidRPr="00410D67" w:rsidRDefault="002569B4" w:rsidP="00F97FC5">
            <w:pPr>
              <w:numPr>
                <w:ilvl w:val="0"/>
                <w:numId w:val="3"/>
              </w:numPr>
              <w:suppressAutoHyphens/>
              <w:overflowPunct w:val="0"/>
              <w:autoSpaceDN/>
              <w:adjustRightInd/>
              <w:snapToGrid/>
              <w:spacing w:after="0" w:line="360" w:lineRule="auto"/>
              <w:jc w:val="left"/>
              <w:textAlignment w:val="baseline"/>
              <w:rPr>
                <w:sz w:val="20"/>
              </w:rPr>
            </w:pPr>
            <w:r w:rsidRPr="00410D67">
              <w:rPr>
                <w:sz w:val="20"/>
              </w:rPr>
              <w:t>Target the 1616-1626.5 MHz MSS allocated band</w:t>
            </w:r>
          </w:p>
          <w:p w:rsidR="002569B4" w:rsidRPr="00410D67" w:rsidRDefault="002569B4" w:rsidP="00F97FC5">
            <w:pPr>
              <w:pStyle w:val="b1"/>
              <w:numPr>
                <w:ilvl w:val="0"/>
                <w:numId w:val="3"/>
              </w:numPr>
              <w:spacing w:before="0" w:after="0" w:line="360" w:lineRule="auto"/>
              <w:rPr>
                <w:color w:val="000000"/>
                <w:sz w:val="20"/>
                <w:szCs w:val="20"/>
                <w:lang w:val="en-GB"/>
              </w:rPr>
            </w:pPr>
            <w:r w:rsidRPr="00410D67">
              <w:rPr>
                <w:color w:val="000000"/>
                <w:sz w:val="20"/>
                <w:szCs w:val="20"/>
                <w:lang w:val="en-GB"/>
              </w:rPr>
              <w:t xml:space="preserve">Standalone deployment with anchor and non-anchor carriers (i.e. operating in carrier(s) used only for NB-IoT) </w:t>
            </w:r>
          </w:p>
          <w:p w:rsidR="002569B4" w:rsidRPr="00410D67" w:rsidRDefault="002569B4" w:rsidP="00F97FC5">
            <w:pPr>
              <w:numPr>
                <w:ilvl w:val="0"/>
                <w:numId w:val="3"/>
              </w:numPr>
              <w:suppressAutoHyphens/>
              <w:overflowPunct w:val="0"/>
              <w:autoSpaceDN/>
              <w:adjustRightInd/>
              <w:snapToGrid/>
              <w:spacing w:after="0" w:line="360" w:lineRule="auto"/>
              <w:jc w:val="left"/>
              <w:textAlignment w:val="baseline"/>
              <w:rPr>
                <w:sz w:val="20"/>
              </w:rPr>
            </w:pPr>
            <w:r w:rsidRPr="00410D67">
              <w:rPr>
                <w:sz w:val="20"/>
              </w:rPr>
              <w:t>Operate with Earth fixed Tracking area, with either Earth fixed cells or Earth moving cells for NGSO</w:t>
            </w:r>
          </w:p>
          <w:p w:rsidR="002569B4" w:rsidRPr="00410D67" w:rsidRDefault="002569B4" w:rsidP="00F97FC5">
            <w:pPr>
              <w:numPr>
                <w:ilvl w:val="0"/>
                <w:numId w:val="3"/>
              </w:numPr>
              <w:suppressAutoHyphens/>
              <w:overflowPunct w:val="0"/>
              <w:autoSpaceDN/>
              <w:adjustRightInd/>
              <w:snapToGrid/>
              <w:spacing w:after="0" w:line="360" w:lineRule="auto"/>
              <w:jc w:val="left"/>
              <w:textAlignment w:val="baseline"/>
              <w:rPr>
                <w:sz w:val="20"/>
              </w:rPr>
            </w:pPr>
            <w:r w:rsidRPr="00410D67">
              <w:rPr>
                <w:sz w:val="20"/>
              </w:rP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rsidR="002569B4" w:rsidRPr="00410D67" w:rsidRDefault="002569B4" w:rsidP="00F97FC5">
            <w:pPr>
              <w:spacing w:after="0" w:line="360" w:lineRule="auto"/>
              <w:rPr>
                <w:sz w:val="20"/>
              </w:rPr>
            </w:pPr>
            <w:r w:rsidRPr="00410D67">
              <w:rPr>
                <w:sz w:val="20"/>
              </w:rPr>
              <w:t>This work item includes the following objectives:</w:t>
            </w:r>
          </w:p>
          <w:p w:rsidR="002569B4" w:rsidRPr="00410D67" w:rsidRDefault="002569B4" w:rsidP="00F97FC5">
            <w:pPr>
              <w:numPr>
                <w:ilvl w:val="0"/>
                <w:numId w:val="4"/>
              </w:numPr>
              <w:suppressAutoHyphens/>
              <w:overflowPunct w:val="0"/>
              <w:autoSpaceDN/>
              <w:adjustRightInd/>
              <w:snapToGrid/>
              <w:spacing w:after="0" w:line="360" w:lineRule="auto"/>
              <w:jc w:val="left"/>
              <w:textAlignment w:val="baseline"/>
              <w:rPr>
                <w:color w:val="FF0000"/>
                <w:sz w:val="20"/>
              </w:rPr>
            </w:pPr>
            <w:r w:rsidRPr="00410D67">
              <w:rPr>
                <w:color w:val="FF0000"/>
                <w:sz w:val="20"/>
              </w:rPr>
              <w:t>Specify a new NB-IoT TDD NTN mode</w:t>
            </w:r>
            <w:r w:rsidRPr="00410D67">
              <w:rPr>
                <w:rStyle w:val="WW8Num1z0"/>
                <w:color w:val="FF0000"/>
                <w:sz w:val="20"/>
              </w:rPr>
              <w:t xml:space="preserve"> </w:t>
            </w:r>
            <w:r w:rsidRPr="00410D67">
              <w:rPr>
                <w:rStyle w:val="ui-provider"/>
                <w:color w:val="FF0000"/>
                <w:sz w:val="20"/>
              </w:rPr>
              <w:t>based on minimum necessary changes to the NB-IoT NTN FDD frame structure and procedures</w:t>
            </w:r>
            <w:r w:rsidR="00E26BCB" w:rsidRPr="00410D67">
              <w:rPr>
                <w:color w:val="FF0000"/>
                <w:sz w:val="20"/>
              </w:rPr>
              <w:t xml:space="preserve">, </w:t>
            </w:r>
            <w:r w:rsidRPr="00410D67">
              <w:rPr>
                <w:color w:val="FF0000"/>
                <w:sz w:val="20"/>
              </w:rPr>
              <w:t>including:</w:t>
            </w:r>
          </w:p>
          <w:p w:rsidR="002569B4" w:rsidRPr="00410D67" w:rsidRDefault="002569B4" w:rsidP="00F97FC5">
            <w:pPr>
              <w:numPr>
                <w:ilvl w:val="1"/>
                <w:numId w:val="5"/>
              </w:numPr>
              <w:suppressAutoHyphens/>
              <w:overflowPunct w:val="0"/>
              <w:autoSpaceDN/>
              <w:adjustRightInd/>
              <w:snapToGrid/>
              <w:spacing w:after="0" w:line="360" w:lineRule="auto"/>
              <w:jc w:val="left"/>
              <w:textAlignment w:val="baseline"/>
              <w:rPr>
                <w:color w:val="FF0000"/>
                <w:sz w:val="20"/>
              </w:rPr>
            </w:pPr>
            <w:r w:rsidRPr="00410D67">
              <w:rPr>
                <w:color w:val="FF0000"/>
                <w:sz w:val="20"/>
              </w:rPr>
              <w:t>Definition, configuration (if needed) and signaling (if needed) of the periodic pattern, necessary adaptation (if needed) and associated UE procedures [RAN1, RAN2]</w:t>
            </w:r>
          </w:p>
          <w:p w:rsidR="002569B4" w:rsidRPr="00410D67" w:rsidRDefault="002569B4" w:rsidP="00F97FC5">
            <w:pPr>
              <w:numPr>
                <w:ilvl w:val="2"/>
                <w:numId w:val="5"/>
              </w:numPr>
              <w:suppressAutoHyphens/>
              <w:overflowPunct w:val="0"/>
              <w:autoSpaceDN/>
              <w:adjustRightInd/>
              <w:snapToGrid/>
              <w:spacing w:after="0" w:line="360" w:lineRule="auto"/>
              <w:jc w:val="left"/>
              <w:textAlignment w:val="baseline"/>
              <w:rPr>
                <w:color w:val="FF0000"/>
                <w:sz w:val="20"/>
              </w:rPr>
            </w:pPr>
            <w:r w:rsidRPr="00410D67">
              <w:rPr>
                <w:color w:val="FF0000"/>
                <w:sz w:val="20"/>
              </w:rPr>
              <w:t>Support a pattern with a period of 9 radio frames for the target MSS allocated band, where D=U=8 with a fixed guard period.RAN1 to consider whether there is a need for a mechanism to achieve an adjustable guard period for the purpose of allowing deployment with the TDD frame structure of the legacy system operating in the target MSS allocated band.</w:t>
            </w:r>
          </w:p>
          <w:p w:rsidR="002569B4" w:rsidRPr="00410D67" w:rsidRDefault="002569B4" w:rsidP="00F97FC5">
            <w:pPr>
              <w:numPr>
                <w:ilvl w:val="1"/>
                <w:numId w:val="5"/>
              </w:numPr>
              <w:suppressAutoHyphens/>
              <w:overflowPunct w:val="0"/>
              <w:autoSpaceDN/>
              <w:adjustRightInd/>
              <w:snapToGrid/>
              <w:spacing w:after="0" w:line="360" w:lineRule="auto"/>
              <w:jc w:val="left"/>
              <w:textAlignment w:val="baseline"/>
              <w:rPr>
                <w:sz w:val="20"/>
              </w:rPr>
            </w:pPr>
            <w:r w:rsidRPr="00410D67">
              <w:rPr>
                <w:sz w:val="20"/>
              </w:rPr>
              <w:t>Other necessary impacts on higher layers [RAN2]</w:t>
            </w:r>
          </w:p>
          <w:p w:rsidR="002569B4" w:rsidRPr="00410D67" w:rsidRDefault="002569B4" w:rsidP="00F97FC5">
            <w:pPr>
              <w:numPr>
                <w:ilvl w:val="1"/>
                <w:numId w:val="5"/>
              </w:numPr>
              <w:suppressAutoHyphens/>
              <w:overflowPunct w:val="0"/>
              <w:autoSpaceDN/>
              <w:adjustRightInd/>
              <w:snapToGrid/>
              <w:spacing w:after="0" w:line="360" w:lineRule="auto"/>
              <w:jc w:val="left"/>
              <w:textAlignment w:val="baseline"/>
              <w:rPr>
                <w:sz w:val="20"/>
              </w:rPr>
            </w:pPr>
            <w:r w:rsidRPr="00410D67">
              <w:rPr>
                <w:sz w:val="20"/>
              </w:rPr>
              <w:lastRenderedPageBreak/>
              <w:t>RRM and RF core requirements [RAN4]</w:t>
            </w:r>
          </w:p>
          <w:p w:rsidR="002569B4" w:rsidRPr="00410D67" w:rsidRDefault="002569B4" w:rsidP="00F97FC5">
            <w:pPr>
              <w:numPr>
                <w:ilvl w:val="0"/>
                <w:numId w:val="4"/>
              </w:numPr>
              <w:suppressAutoHyphens/>
              <w:overflowPunct w:val="0"/>
              <w:autoSpaceDN/>
              <w:adjustRightInd/>
              <w:snapToGrid/>
              <w:spacing w:after="0" w:line="360" w:lineRule="auto"/>
              <w:jc w:val="left"/>
              <w:textAlignment w:val="baseline"/>
              <w:rPr>
                <w:sz w:val="20"/>
              </w:rPr>
            </w:pPr>
            <w:r w:rsidRPr="00410D67">
              <w:rPr>
                <w:sz w:val="20"/>
              </w:rPr>
              <w:t>Specify a new NB-IoT TDD operating NTN band for the MSS allocation spanning 1616-1626.5 MHz for DL and UL, based on the outcome of the study, to be used as example band for this WI [RAN4].</w:t>
            </w:r>
          </w:p>
          <w:p w:rsidR="002569B4" w:rsidRPr="00410D67" w:rsidRDefault="002569B4" w:rsidP="00F97FC5">
            <w:pPr>
              <w:numPr>
                <w:ilvl w:val="1"/>
                <w:numId w:val="5"/>
              </w:numPr>
              <w:suppressAutoHyphens/>
              <w:overflowPunct w:val="0"/>
              <w:autoSpaceDN/>
              <w:adjustRightInd/>
              <w:snapToGrid/>
              <w:spacing w:after="0" w:line="360" w:lineRule="auto"/>
              <w:jc w:val="left"/>
              <w:textAlignment w:val="baseline"/>
              <w:rPr>
                <w:sz w:val="20"/>
              </w:rPr>
            </w:pPr>
            <w:r w:rsidRPr="00410D67">
              <w:rPr>
                <w:sz w:val="20"/>
              </w:rPr>
              <w:t>Specify band numbering</w:t>
            </w:r>
          </w:p>
          <w:p w:rsidR="002569B4" w:rsidRPr="00410D67" w:rsidRDefault="002569B4" w:rsidP="00F97FC5">
            <w:pPr>
              <w:numPr>
                <w:ilvl w:val="1"/>
                <w:numId w:val="5"/>
              </w:numPr>
              <w:suppressAutoHyphens/>
              <w:overflowPunct w:val="0"/>
              <w:autoSpaceDN/>
              <w:adjustRightInd/>
              <w:snapToGrid/>
              <w:spacing w:after="0" w:line="360" w:lineRule="auto"/>
              <w:jc w:val="left"/>
              <w:textAlignment w:val="baseline"/>
              <w:rPr>
                <w:sz w:val="20"/>
              </w:rPr>
            </w:pPr>
            <w:r w:rsidRPr="00410D67">
              <w:rPr>
                <w:sz w:val="20"/>
              </w:rPr>
              <w:t>Specify SAN and UE RF characteristics</w:t>
            </w:r>
          </w:p>
          <w:p w:rsidR="002569B4" w:rsidRPr="00410D67" w:rsidRDefault="002569B4" w:rsidP="00F97FC5">
            <w:pPr>
              <w:numPr>
                <w:ilvl w:val="1"/>
                <w:numId w:val="5"/>
              </w:numPr>
              <w:suppressAutoHyphens/>
              <w:overflowPunct w:val="0"/>
              <w:autoSpaceDN/>
              <w:adjustRightInd/>
              <w:snapToGrid/>
              <w:spacing w:after="0" w:line="360" w:lineRule="auto"/>
              <w:jc w:val="left"/>
              <w:textAlignment w:val="baseline"/>
              <w:rPr>
                <w:sz w:val="20"/>
              </w:rPr>
            </w:pPr>
            <w:r w:rsidRPr="00410D67">
              <w:rPr>
                <w:sz w:val="20"/>
              </w:rPr>
              <w:t>Specify DL and UL channelization.</w:t>
            </w:r>
          </w:p>
          <w:p w:rsidR="002569B4" w:rsidRPr="00410D67" w:rsidRDefault="002569B4" w:rsidP="00F97FC5">
            <w:pPr>
              <w:numPr>
                <w:ilvl w:val="1"/>
                <w:numId w:val="5"/>
              </w:numPr>
              <w:suppressAutoHyphens/>
              <w:overflowPunct w:val="0"/>
              <w:autoSpaceDN/>
              <w:adjustRightInd/>
              <w:snapToGrid/>
              <w:spacing w:after="0" w:line="360" w:lineRule="auto"/>
              <w:jc w:val="left"/>
              <w:textAlignment w:val="baseline"/>
              <w:rPr>
                <w:sz w:val="20"/>
              </w:rPr>
            </w:pPr>
            <w:r w:rsidRPr="00410D67">
              <w:rPr>
                <w:sz w:val="20"/>
              </w:rPr>
              <w:t>Specify channel bandwidth as 200 kHz</w:t>
            </w:r>
          </w:p>
          <w:p w:rsidR="002569B4" w:rsidRPr="00410D67" w:rsidRDefault="002569B4" w:rsidP="00F97FC5">
            <w:pPr>
              <w:numPr>
                <w:ilvl w:val="1"/>
                <w:numId w:val="5"/>
              </w:numPr>
              <w:suppressAutoHyphens/>
              <w:overflowPunct w:val="0"/>
              <w:autoSpaceDN/>
              <w:adjustRightInd/>
              <w:snapToGrid/>
              <w:spacing w:after="0" w:line="360" w:lineRule="auto"/>
              <w:jc w:val="left"/>
              <w:textAlignment w:val="baseline"/>
              <w:rPr>
                <w:sz w:val="20"/>
              </w:rPr>
            </w:pPr>
            <w:r w:rsidRPr="00410D67">
              <w:rPr>
                <w:sz w:val="20"/>
              </w:rPr>
              <w:t>Note1: No NTN-NTN coexistence study needed.</w:t>
            </w:r>
          </w:p>
          <w:p w:rsidR="002569B4" w:rsidRPr="00410D67" w:rsidRDefault="002569B4" w:rsidP="00F97FC5">
            <w:pPr>
              <w:numPr>
                <w:ilvl w:val="1"/>
                <w:numId w:val="5"/>
              </w:numPr>
              <w:suppressAutoHyphens/>
              <w:overflowPunct w:val="0"/>
              <w:autoSpaceDN/>
              <w:adjustRightInd/>
              <w:snapToGrid/>
              <w:spacing w:after="0" w:line="360" w:lineRule="auto"/>
              <w:jc w:val="left"/>
              <w:textAlignment w:val="baseline"/>
              <w:rPr>
                <w:sz w:val="20"/>
              </w:rPr>
            </w:pPr>
            <w:r w:rsidRPr="00410D67">
              <w:rPr>
                <w:sz w:val="20"/>
              </w:rPr>
              <w:t>Note2: Leverage existing work as much as possible for TN-NTN coexistence of adjacent bands</w:t>
            </w:r>
          </w:p>
          <w:p w:rsidR="002569B4" w:rsidRPr="00410D67" w:rsidRDefault="002569B4" w:rsidP="00F97FC5">
            <w:pPr>
              <w:spacing w:after="0" w:line="360" w:lineRule="auto"/>
              <w:rPr>
                <w:sz w:val="20"/>
              </w:rPr>
            </w:pPr>
            <w:r w:rsidRPr="00410D67">
              <w:rPr>
                <w:sz w:val="20"/>
              </w:rPr>
              <w:t>Note3: Reuse the existing RAN4 requirements as much as possible (no intention to have any relaxation of the RF emissions requirements)</w:t>
            </w:r>
          </w:p>
        </w:tc>
      </w:tr>
    </w:tbl>
    <w:p w:rsidR="002569B4" w:rsidRPr="00410D67" w:rsidRDefault="002569B4" w:rsidP="00F97FC5">
      <w:pPr>
        <w:spacing w:after="0" w:line="360" w:lineRule="auto"/>
        <w:rPr>
          <w:lang w:eastAsia="zh-CN"/>
        </w:rPr>
      </w:pPr>
      <w:r w:rsidRPr="00410D67">
        <w:rPr>
          <w:bCs/>
          <w:iCs/>
        </w:rPr>
        <w:lastRenderedPageBreak/>
        <w:t xml:space="preserve">In this contribution, we will share our views on the specification </w:t>
      </w:r>
      <w:r w:rsidRPr="00410D67">
        <w:rPr>
          <w:bCs/>
          <w:iCs/>
          <w:lang w:eastAsia="zh-CN"/>
        </w:rPr>
        <w:t>impacts</w:t>
      </w:r>
      <w:r w:rsidRPr="00410D67">
        <w:rPr>
          <w:bCs/>
          <w:iCs/>
        </w:rPr>
        <w:t xml:space="preserve"> </w:t>
      </w:r>
      <w:r w:rsidRPr="00410D67">
        <w:rPr>
          <w:bCs/>
          <w:iCs/>
          <w:lang w:eastAsia="zh-CN"/>
        </w:rPr>
        <w:t>of</w:t>
      </w:r>
      <w:r w:rsidRPr="00410D67">
        <w:rPr>
          <w:bCs/>
          <w:iCs/>
        </w:rPr>
        <w:t xml:space="preserve"> IoT-NTN TDD mode.</w:t>
      </w:r>
      <w:r w:rsidRPr="00410D67">
        <w:rPr>
          <w:lang w:eastAsia="zh-CN"/>
        </w:rPr>
        <w:t xml:space="preserve"> </w:t>
      </w:r>
    </w:p>
    <w:p w:rsidR="001B1F0A" w:rsidRPr="00410D67" w:rsidRDefault="00F97FC5" w:rsidP="00F97FC5">
      <w:pPr>
        <w:pStyle w:val="1"/>
        <w:spacing w:before="0" w:after="0" w:line="360" w:lineRule="auto"/>
        <w:jc w:val="left"/>
        <w:rPr>
          <w:lang w:eastAsia="zh-CN"/>
        </w:rPr>
      </w:pPr>
      <w:r>
        <w:rPr>
          <w:lang w:eastAsia="zh-CN"/>
        </w:rPr>
        <w:t>DL gap</w:t>
      </w:r>
    </w:p>
    <w:p w:rsidR="001B1F0A" w:rsidRPr="00410D67" w:rsidRDefault="001B1F0A" w:rsidP="00F97FC5">
      <w:pPr>
        <w:spacing w:after="0" w:line="360" w:lineRule="auto"/>
        <w:rPr>
          <w:rFonts w:eastAsia="宋体"/>
          <w:bCs/>
          <w:lang w:eastAsia="zh-CN"/>
        </w:rPr>
      </w:pPr>
      <w:r w:rsidRPr="00410D67">
        <w:rPr>
          <w:rFonts w:eastAsia="宋体"/>
          <w:bCs/>
          <w:lang w:eastAsia="zh-CN"/>
        </w:rPr>
        <w:t>In RAN1 #120b</w:t>
      </w:r>
      <w:r>
        <w:rPr>
          <w:rFonts w:eastAsia="宋体"/>
          <w:bCs/>
          <w:lang w:eastAsia="zh-CN"/>
        </w:rPr>
        <w:t>is</w:t>
      </w:r>
      <w:r w:rsidRPr="00410D67">
        <w:rPr>
          <w:rFonts w:eastAsia="宋体"/>
          <w:bCs/>
          <w:lang w:eastAsia="zh-CN"/>
        </w:rPr>
        <w:t xml:space="preserve">, there are three </w:t>
      </w:r>
      <w:r w:rsidR="00041854">
        <w:rPr>
          <w:rFonts w:eastAsia="宋体"/>
          <w:bCs/>
          <w:lang w:eastAsia="zh-CN"/>
        </w:rPr>
        <w:t xml:space="preserve">candidate </w:t>
      </w:r>
      <w:r w:rsidRPr="00410D67">
        <w:rPr>
          <w:rFonts w:eastAsia="宋体"/>
          <w:bCs/>
          <w:lang w:eastAsia="zh-CN"/>
        </w:rPr>
        <w:t xml:space="preserve">options for how to handle DL </w:t>
      </w:r>
      <w:r w:rsidR="00041854">
        <w:rPr>
          <w:rFonts w:eastAsia="宋体"/>
          <w:bCs/>
          <w:lang w:eastAsia="zh-CN"/>
        </w:rPr>
        <w:t>gap</w:t>
      </w:r>
      <w:r>
        <w:rPr>
          <w:rFonts w:eastAsia="宋体"/>
          <w:bCs/>
          <w:lang w:eastAsia="zh-CN"/>
        </w:rPr>
        <w:t xml:space="preserve"> [2]</w:t>
      </w:r>
      <w:r w:rsidRPr="00410D67">
        <w:rPr>
          <w:rFonts w:eastAsia="宋体"/>
          <w:bCs/>
          <w:lang w:eastAsia="zh-CN"/>
        </w:rPr>
        <w:t>.</w:t>
      </w:r>
    </w:p>
    <w:tbl>
      <w:tblPr>
        <w:tblStyle w:val="a3"/>
        <w:tblW w:w="0" w:type="auto"/>
        <w:tblLook w:val="04A0" w:firstRow="1" w:lastRow="0" w:firstColumn="1" w:lastColumn="0" w:noHBand="0" w:noVBand="1"/>
      </w:tblPr>
      <w:tblGrid>
        <w:gridCol w:w="9307"/>
      </w:tblGrid>
      <w:tr w:rsidR="001B1F0A" w:rsidRPr="00410D67" w:rsidTr="00F97FC5">
        <w:tc>
          <w:tcPr>
            <w:tcW w:w="9307" w:type="dxa"/>
          </w:tcPr>
          <w:p w:rsidR="001B1F0A" w:rsidRPr="00410D67" w:rsidRDefault="001B1F0A" w:rsidP="00F97FC5">
            <w:pPr>
              <w:spacing w:after="0" w:line="360" w:lineRule="auto"/>
              <w:rPr>
                <w:rFonts w:eastAsia="宋体"/>
                <w:b/>
                <w:bCs/>
                <w:sz w:val="20"/>
              </w:rPr>
            </w:pPr>
            <w:r w:rsidRPr="00410D67">
              <w:rPr>
                <w:rFonts w:eastAsia="宋体"/>
                <w:b/>
                <w:bCs/>
                <w:sz w:val="20"/>
                <w:highlight w:val="green"/>
              </w:rPr>
              <w:t>Agreement</w:t>
            </w:r>
          </w:p>
          <w:p w:rsidR="001B1F0A" w:rsidRPr="00410D67" w:rsidRDefault="001B1F0A" w:rsidP="00F97FC5">
            <w:pPr>
              <w:spacing w:after="0" w:line="360" w:lineRule="auto"/>
              <w:rPr>
                <w:rFonts w:eastAsia="宋体"/>
                <w:bCs/>
                <w:sz w:val="20"/>
              </w:rPr>
            </w:pPr>
            <w:r w:rsidRPr="00410D67">
              <w:rPr>
                <w:rFonts w:eastAsia="宋体"/>
                <w:bCs/>
                <w:sz w:val="20"/>
              </w:rPr>
              <w:t>For the issue of handling DL gaps in NB-IoT NTN TDD mode, down-select among the following options:</w:t>
            </w:r>
          </w:p>
          <w:p w:rsidR="001B1F0A" w:rsidRPr="00410D67" w:rsidRDefault="001B1F0A" w:rsidP="00F97FC5">
            <w:pPr>
              <w:numPr>
                <w:ilvl w:val="0"/>
                <w:numId w:val="12"/>
              </w:numPr>
              <w:overflowPunct w:val="0"/>
              <w:snapToGrid/>
              <w:spacing w:after="0" w:line="360" w:lineRule="auto"/>
              <w:contextualSpacing/>
              <w:jc w:val="left"/>
              <w:textAlignment w:val="baseline"/>
              <w:rPr>
                <w:rFonts w:eastAsia="宋体"/>
                <w:bCs/>
                <w:sz w:val="20"/>
                <w:lang w:eastAsia="zh-CN"/>
              </w:rPr>
            </w:pPr>
            <w:r w:rsidRPr="00410D67">
              <w:rPr>
                <w:rFonts w:eastAsia="宋体"/>
                <w:bCs/>
                <w:sz w:val="20"/>
                <w:lang w:eastAsia="zh-CN"/>
              </w:rPr>
              <w:t>Option 1: DL gaps do not apply for NB-IoT NTN TDD mode.</w:t>
            </w:r>
          </w:p>
          <w:p w:rsidR="001B1F0A" w:rsidRPr="00410D67" w:rsidRDefault="001B1F0A" w:rsidP="00F97FC5">
            <w:pPr>
              <w:numPr>
                <w:ilvl w:val="0"/>
                <w:numId w:val="12"/>
              </w:numPr>
              <w:overflowPunct w:val="0"/>
              <w:snapToGrid/>
              <w:spacing w:after="0" w:line="360" w:lineRule="auto"/>
              <w:contextualSpacing/>
              <w:jc w:val="left"/>
              <w:textAlignment w:val="baseline"/>
              <w:rPr>
                <w:rFonts w:eastAsia="宋体"/>
                <w:bCs/>
                <w:sz w:val="20"/>
                <w:lang w:eastAsia="zh-CN"/>
              </w:rPr>
            </w:pPr>
            <w:r w:rsidRPr="00410D67">
              <w:rPr>
                <w:rFonts w:eastAsia="宋体"/>
                <w:bCs/>
                <w:sz w:val="20"/>
                <w:lang w:eastAsia="zh-CN"/>
              </w:rPr>
              <w:t>Option 2: DL gaps apply based on current specifications.</w:t>
            </w:r>
          </w:p>
          <w:p w:rsidR="001B1F0A" w:rsidRPr="00410D67" w:rsidRDefault="001B1F0A" w:rsidP="00F97FC5">
            <w:pPr>
              <w:numPr>
                <w:ilvl w:val="0"/>
                <w:numId w:val="12"/>
              </w:numPr>
              <w:overflowPunct w:val="0"/>
              <w:snapToGrid/>
              <w:spacing w:after="0" w:line="360" w:lineRule="auto"/>
              <w:contextualSpacing/>
              <w:jc w:val="left"/>
              <w:textAlignment w:val="baseline"/>
              <w:rPr>
                <w:rFonts w:eastAsia="宋体"/>
                <w:bCs/>
                <w:sz w:val="20"/>
                <w:lang w:eastAsia="zh-CN"/>
              </w:rPr>
            </w:pPr>
            <w:r w:rsidRPr="00410D67">
              <w:rPr>
                <w:rFonts w:eastAsia="宋体"/>
                <w:bCs/>
                <w:sz w:val="20"/>
                <w:lang w:eastAsia="zh-CN"/>
              </w:rPr>
              <w:t>Option 3: DL gaps apply, where new periodicity(ies) are introduced (either implicity e.g. the periodicity is scaled by a fixed factor F, or explicitly)</w:t>
            </w:r>
          </w:p>
        </w:tc>
      </w:tr>
    </w:tbl>
    <w:p w:rsidR="004878ED" w:rsidRPr="004878ED" w:rsidRDefault="001B1F0A" w:rsidP="004878ED">
      <w:pPr>
        <w:spacing w:after="0" w:line="360" w:lineRule="auto"/>
        <w:rPr>
          <w:rFonts w:hint="eastAsia"/>
          <w:lang w:eastAsia="zh-CN"/>
        </w:rPr>
      </w:pPr>
      <w:r w:rsidRPr="00410D67">
        <w:t>DL gap</w:t>
      </w:r>
      <w:r w:rsidR="004878ED">
        <w:t>s</w:t>
      </w:r>
      <w:r w:rsidRPr="00410D67">
        <w:t xml:space="preserve"> is introduced</w:t>
      </w:r>
      <w:r w:rsidR="00076227">
        <w:t xml:space="preserve"> to avoid single UE occupying large DL resource</w:t>
      </w:r>
      <w:r w:rsidRPr="00410D67">
        <w:t>.</w:t>
      </w:r>
      <w:r w:rsidR="00484C5D">
        <w:t xml:space="preserve"> If</w:t>
      </w:r>
      <w:r w:rsidR="004878ED">
        <w:t xml:space="preserve"> DL gaps </w:t>
      </w:r>
      <w:r w:rsidR="00484C5D">
        <w:t>are</w:t>
      </w:r>
      <w:r w:rsidR="004878ED">
        <w:t xml:space="preserve"> configured, </w:t>
      </w:r>
      <w:r w:rsidR="00484C5D">
        <w:rPr>
          <w:rFonts w:eastAsia="宋体"/>
          <w:bCs/>
          <w:lang w:eastAsia="zh-CN"/>
        </w:rPr>
        <w:t>when</w:t>
      </w:r>
      <w:r w:rsidR="004878ED" w:rsidRPr="00410D67">
        <w:rPr>
          <w:rFonts w:eastAsia="宋体"/>
          <w:bCs/>
          <w:lang w:eastAsia="zh-CN"/>
        </w:rPr>
        <w:t xml:space="preserve"> PDSCH/PDCCH repetition number</w:t>
      </w:r>
      <w:r w:rsidR="004878ED">
        <w:rPr>
          <w:rFonts w:eastAsia="宋体"/>
          <w:bCs/>
          <w:lang w:eastAsia="zh-CN"/>
        </w:rPr>
        <w:t xml:space="preserve"> (Rmax)</w:t>
      </w:r>
      <w:r w:rsidR="004878ED" w:rsidRPr="00410D67">
        <w:rPr>
          <w:rFonts w:eastAsia="宋体"/>
          <w:bCs/>
          <w:lang w:eastAsia="zh-CN"/>
        </w:rPr>
        <w:t xml:space="preserve"> &gt;= </w:t>
      </w:r>
      <w:r w:rsidR="004878ED" w:rsidRPr="00410D67">
        <w:rPr>
          <w:i/>
        </w:rPr>
        <w:t>dl-GapThreshold-r13</w:t>
      </w:r>
      <w:r w:rsidR="004878ED">
        <w:rPr>
          <w:i/>
        </w:rPr>
        <w:t xml:space="preserve"> {32, 64, 128, 256}</w:t>
      </w:r>
      <w:r w:rsidR="004878ED" w:rsidRPr="00410D67">
        <w:rPr>
          <w:i/>
        </w:rPr>
        <w:t>,</w:t>
      </w:r>
      <w:r w:rsidR="004878ED" w:rsidRPr="00410D67">
        <w:t xml:space="preserve"> </w:t>
      </w:r>
      <w:r w:rsidR="004878ED">
        <w:t xml:space="preserve">UE stop </w:t>
      </w:r>
      <w:r w:rsidR="004878ED">
        <w:rPr>
          <w:rFonts w:hint="eastAsia"/>
          <w:lang w:eastAsia="zh-CN"/>
        </w:rPr>
        <w:t>DL</w:t>
      </w:r>
      <w:r w:rsidR="004878ED" w:rsidRPr="00410D67">
        <w:t xml:space="preserve"> reception</w:t>
      </w:r>
      <w:r w:rsidR="004878ED">
        <w:t xml:space="preserve"> </w:t>
      </w:r>
      <w:r w:rsidR="004878ED">
        <w:t xml:space="preserve">in DL gap </w:t>
      </w:r>
      <w:r w:rsidR="004878ED">
        <w:t xml:space="preserve">and </w:t>
      </w:r>
      <w:r w:rsidR="004878ED">
        <w:rPr>
          <w:rFonts w:hint="eastAsia"/>
          <w:lang w:eastAsia="zh-CN"/>
        </w:rPr>
        <w:t>postpone</w:t>
      </w:r>
      <w:r w:rsidR="004878ED">
        <w:t xml:space="preserve"> reception</w:t>
      </w:r>
      <w:r w:rsidR="004878ED" w:rsidRPr="00410D67">
        <w:t xml:space="preserve">. </w:t>
      </w:r>
      <w:r w:rsidR="00484C5D">
        <w:rPr>
          <w:lang w:eastAsia="zh-CN"/>
        </w:rPr>
        <w:t>When</w:t>
      </w:r>
      <w:r w:rsidR="004878ED">
        <w:t xml:space="preserve"> Rmax&lt; </w:t>
      </w:r>
      <w:r w:rsidR="004878ED" w:rsidRPr="00410D67">
        <w:rPr>
          <w:i/>
        </w:rPr>
        <w:t>dl-GapThreshold-r13</w:t>
      </w:r>
      <w:r w:rsidR="004878ED">
        <w:rPr>
          <w:i/>
        </w:rPr>
        <w:t>,</w:t>
      </w:r>
      <w:r w:rsidR="004878ED" w:rsidRPr="00E71912">
        <w:t xml:space="preserve"> there is no DL gap.</w:t>
      </w:r>
      <w:r w:rsidR="004878ED">
        <w:t xml:space="preserve"> </w:t>
      </w:r>
      <w:r w:rsidR="00E71912">
        <w:t>W</w:t>
      </w:r>
      <w:r w:rsidR="00E71912" w:rsidRPr="00E71912">
        <w:t>ith the TDD pattern which leads to postponement for most DL transmissions, the concern about a single UE being served for too long is not addressed by introducing DL gap.</w:t>
      </w:r>
      <w:r w:rsidR="00E71912">
        <w:t xml:space="preserve"> </w:t>
      </w:r>
      <w:r w:rsidR="004878ED">
        <w:rPr>
          <w:lang w:eastAsia="zh-CN"/>
        </w:rPr>
        <w:t>T</w:t>
      </w:r>
      <w:r w:rsidR="004878ED">
        <w:rPr>
          <w:lang w:eastAsia="zh-CN"/>
        </w:rPr>
        <w:t>here is no significant gain.</w:t>
      </w:r>
      <w:r w:rsidR="004878ED">
        <w:rPr>
          <w:lang w:eastAsia="zh-CN"/>
        </w:rPr>
        <w:t xml:space="preserve"> In our view, DL gaps don’t apply for TDD mode.</w:t>
      </w:r>
    </w:p>
    <w:p w:rsidR="004878ED" w:rsidRPr="004878ED" w:rsidRDefault="004878ED" w:rsidP="00F97FC5">
      <w:pPr>
        <w:spacing w:after="0" w:line="360" w:lineRule="auto"/>
        <w:rPr>
          <w:rFonts w:hint="eastAsia"/>
          <w:lang w:eastAsia="zh-CN"/>
        </w:rPr>
      </w:pPr>
      <w:r>
        <w:t>If DL gaps are configured, l</w:t>
      </w:r>
      <w:r>
        <w:t>egacy mechanism can be reused.</w:t>
      </w:r>
      <w:r>
        <w:t xml:space="preserve"> </w:t>
      </w:r>
      <w:r w:rsidR="00E71912">
        <w:t xml:space="preserve">We </w:t>
      </w:r>
      <w:r>
        <w:t>don’t see the strong motivation to enhance DL gap.</w:t>
      </w:r>
    </w:p>
    <w:tbl>
      <w:tblPr>
        <w:tblStyle w:val="a3"/>
        <w:tblW w:w="0" w:type="auto"/>
        <w:tblLook w:val="04A0" w:firstRow="1" w:lastRow="0" w:firstColumn="1" w:lastColumn="0" w:noHBand="0" w:noVBand="1"/>
      </w:tblPr>
      <w:tblGrid>
        <w:gridCol w:w="9307"/>
      </w:tblGrid>
      <w:tr w:rsidR="001B1F0A" w:rsidRPr="00410D67" w:rsidTr="00F97FC5">
        <w:tc>
          <w:tcPr>
            <w:tcW w:w="9307" w:type="dxa"/>
          </w:tcPr>
          <w:p w:rsidR="001B1F0A" w:rsidRPr="00410D67" w:rsidRDefault="001B1F0A" w:rsidP="00F97FC5">
            <w:pPr>
              <w:spacing w:after="0" w:line="360" w:lineRule="auto"/>
              <w:rPr>
                <w:sz w:val="20"/>
                <w:lang w:eastAsia="zh-CN"/>
              </w:rPr>
            </w:pPr>
            <w:r w:rsidRPr="00410D67">
              <w:rPr>
                <w:sz w:val="20"/>
                <w:highlight w:val="yellow"/>
                <w:lang w:eastAsia="zh-CN"/>
              </w:rPr>
              <w:t>TS 38.211</w:t>
            </w:r>
          </w:p>
          <w:p w:rsidR="001B1F0A" w:rsidRPr="00410D67" w:rsidRDefault="001B1F0A" w:rsidP="00F97FC5">
            <w:pPr>
              <w:spacing w:after="0" w:line="360" w:lineRule="auto"/>
              <w:rPr>
                <w:sz w:val="20"/>
              </w:rPr>
            </w:pPr>
            <w:r w:rsidRPr="00410D67">
              <w:rPr>
                <w:sz w:val="20"/>
              </w:rPr>
              <w:t xml:space="preserve">The NPDSCH transmission can be configured by higher layers with transmission gaps where the </w:t>
            </w:r>
            <w:r w:rsidRPr="00410D67">
              <w:rPr>
                <w:rFonts w:eastAsia="等线"/>
                <w:sz w:val="20"/>
              </w:rPr>
              <w:t>NPDSCH</w:t>
            </w:r>
            <w:r w:rsidRPr="00410D67">
              <w:rPr>
                <w:sz w:val="20"/>
              </w:rPr>
              <w:t xml:space="preserve"> transmission is postponed. There are no gaps in the NPDSCH transmission if </w:t>
            </w:r>
            <w:r w:rsidRPr="00410D67">
              <w:rPr>
                <w:position w:val="-14"/>
                <w:sz w:val="20"/>
                <w:szCs w:val="22"/>
              </w:rPr>
              <w:object w:dxaOrig="16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4pt;height:14.3pt" o:ole="">
                  <v:imagedata r:id="rId7" o:title=""/>
                </v:shape>
                <o:OLEObject Type="Embed" ProgID="Equation.3" ShapeID="_x0000_i1025" DrawAspect="Content" ObjectID="_1808214013" r:id="rId8"/>
              </w:object>
            </w:r>
            <w:r w:rsidRPr="00410D67">
              <w:rPr>
                <w:sz w:val="20"/>
              </w:rPr>
              <w:t xml:space="preserve">where </w:t>
            </w:r>
            <w:r w:rsidRPr="00410D67">
              <w:rPr>
                <w:position w:val="-14"/>
                <w:sz w:val="20"/>
                <w:szCs w:val="22"/>
              </w:rPr>
              <w:object w:dxaOrig="999" w:dyaOrig="340">
                <v:shape id="_x0000_i1026" type="#_x0000_t75" style="width:50.3pt;height:14.3pt" o:ole="">
                  <v:imagedata r:id="rId9" o:title=""/>
                </v:shape>
                <o:OLEObject Type="Embed" ProgID="Equation.3" ShapeID="_x0000_i1026" DrawAspect="Content" ObjectID="_1808214014" r:id="rId10"/>
              </w:object>
            </w:r>
            <w:r w:rsidRPr="00410D67">
              <w:rPr>
                <w:sz w:val="20"/>
              </w:rPr>
              <w:t xml:space="preserve"> is given by the higher layer parameter</w:t>
            </w:r>
            <w:r w:rsidRPr="00410D67">
              <w:rPr>
                <w:i/>
                <w:sz w:val="20"/>
              </w:rPr>
              <w:t xml:space="preserve"> dl-GapThreshold</w:t>
            </w:r>
            <w:r w:rsidRPr="00410D67">
              <w:rPr>
                <w:sz w:val="20"/>
              </w:rPr>
              <w:t xml:space="preserve"> and </w:t>
            </w:r>
            <w:r w:rsidRPr="00410D67">
              <w:rPr>
                <w:position w:val="-10"/>
                <w:sz w:val="20"/>
                <w:szCs w:val="22"/>
              </w:rPr>
              <w:object w:dxaOrig="460" w:dyaOrig="300">
                <v:shape id="_x0000_i1027" type="#_x0000_t75" style="width:21.7pt;height:14.3pt" o:ole="">
                  <v:imagedata r:id="rId11" o:title=""/>
                </v:shape>
                <o:OLEObject Type="Embed" ProgID="Equation.3" ShapeID="_x0000_i1027" DrawAspect="Content" ObjectID="_1808214015" r:id="rId12"/>
              </w:object>
            </w:r>
            <w:r w:rsidRPr="00410D67">
              <w:rPr>
                <w:sz w:val="20"/>
              </w:rPr>
              <w:t xml:space="preserve"> is given by [4]. The gap starting frame and subframe is given by </w:t>
            </w:r>
            <w:r w:rsidRPr="00410D67">
              <w:rPr>
                <w:position w:val="-14"/>
                <w:sz w:val="20"/>
                <w:szCs w:val="22"/>
              </w:rPr>
              <w:object w:dxaOrig="2760" w:dyaOrig="340">
                <v:shape id="_x0000_i1028" type="#_x0000_t75" style="width:136.6pt;height:14.3pt" o:ole="">
                  <v:imagedata r:id="rId13" o:title=""/>
                </v:shape>
                <o:OLEObject Type="Embed" ProgID="Equation.3" ShapeID="_x0000_i1028" DrawAspect="Content" ObjectID="_1808214016" r:id="rId14"/>
              </w:object>
            </w:r>
            <w:r w:rsidRPr="00410D67">
              <w:rPr>
                <w:sz w:val="20"/>
              </w:rPr>
              <w:t xml:space="preserve"> where the gap periodicity,</w:t>
            </w:r>
            <w:r w:rsidRPr="00410D67">
              <w:rPr>
                <w:position w:val="-14"/>
                <w:sz w:val="20"/>
                <w:szCs w:val="22"/>
              </w:rPr>
              <w:object w:dxaOrig="840" w:dyaOrig="340">
                <v:shape id="_x0000_i1029" type="#_x0000_t75" style="width:43.4pt;height:14.3pt" o:ole="">
                  <v:imagedata r:id="rId15" o:title=""/>
                </v:shape>
                <o:OLEObject Type="Embed" ProgID="Equation.3" ShapeID="_x0000_i1029" DrawAspect="Content" ObjectID="_1808214017" r:id="rId16"/>
              </w:object>
            </w:r>
            <w:r w:rsidRPr="00410D67">
              <w:rPr>
                <w:sz w:val="20"/>
              </w:rPr>
              <w:t xml:space="preserve">, is given by the higher layer parameter </w:t>
            </w:r>
            <w:r w:rsidRPr="00410D67">
              <w:rPr>
                <w:i/>
                <w:sz w:val="20"/>
              </w:rPr>
              <w:t>dl-GapPeriodicity</w:t>
            </w:r>
            <w:r w:rsidRPr="00410D67">
              <w:rPr>
                <w:sz w:val="20"/>
              </w:rPr>
              <w:t xml:space="preserve">. The gap duration in number of subframes is given by </w:t>
            </w:r>
            <w:r w:rsidRPr="00410D67">
              <w:rPr>
                <w:position w:val="-14"/>
                <w:sz w:val="20"/>
                <w:szCs w:val="22"/>
              </w:rPr>
              <w:object w:dxaOrig="2680" w:dyaOrig="340">
                <v:shape id="_x0000_i1030" type="#_x0000_t75" style="width:136.6pt;height:14.3pt" o:ole="">
                  <v:imagedata r:id="rId17" o:title=""/>
                </v:shape>
                <o:OLEObject Type="Embed" ProgID="Equation.3" ShapeID="_x0000_i1030" DrawAspect="Content" ObjectID="_1808214018" r:id="rId18"/>
              </w:object>
            </w:r>
            <w:r w:rsidRPr="00410D67">
              <w:rPr>
                <w:sz w:val="20"/>
              </w:rPr>
              <w:t xml:space="preserve">, where </w:t>
            </w:r>
            <w:r w:rsidRPr="00410D67">
              <w:rPr>
                <w:position w:val="-14"/>
                <w:sz w:val="20"/>
                <w:szCs w:val="22"/>
              </w:rPr>
              <w:object w:dxaOrig="800" w:dyaOrig="340">
                <v:shape id="_x0000_i1031" type="#_x0000_t75" style="width:36pt;height:14.3pt" o:ole="">
                  <v:imagedata r:id="rId19" o:title=""/>
                </v:shape>
                <o:OLEObject Type="Embed" ProgID="Equation.3" ShapeID="_x0000_i1031" DrawAspect="Content" ObjectID="_1808214019" r:id="rId20"/>
              </w:object>
            </w:r>
            <w:r w:rsidRPr="00410D67">
              <w:rPr>
                <w:sz w:val="20"/>
              </w:rPr>
              <w:t xml:space="preserve"> is given by the higher layer parameter </w:t>
            </w:r>
            <w:r w:rsidRPr="00410D67">
              <w:rPr>
                <w:i/>
                <w:sz w:val="20"/>
              </w:rPr>
              <w:t>dl-GapDurationCoeff</w:t>
            </w:r>
            <w:r w:rsidRPr="00410D67">
              <w:rPr>
                <w:sz w:val="20"/>
              </w:rPr>
              <w:t xml:space="preserve">. For NPDSCH carrying the BCCH there are no gaps in the transmission. </w:t>
            </w:r>
          </w:p>
        </w:tc>
      </w:tr>
    </w:tbl>
    <w:p w:rsidR="001B1F0A" w:rsidRPr="00410D67" w:rsidRDefault="001B1F0A" w:rsidP="00F97FC5">
      <w:pPr>
        <w:pStyle w:val="a4"/>
        <w:numPr>
          <w:ilvl w:val="0"/>
          <w:numId w:val="7"/>
        </w:numPr>
        <w:spacing w:after="0" w:line="360" w:lineRule="auto"/>
        <w:ind w:firstLineChars="0"/>
        <w:rPr>
          <w:b/>
          <w:i/>
          <w:lang w:eastAsia="zh-CN"/>
        </w:rPr>
      </w:pPr>
      <w:r w:rsidRPr="00410D67">
        <w:rPr>
          <w:rFonts w:eastAsia="宋体"/>
          <w:b/>
          <w:i/>
          <w:lang w:eastAsia="zh-CN"/>
        </w:rPr>
        <w:t>Support option 1 or option 2 for DL gaps.</w:t>
      </w:r>
    </w:p>
    <w:p w:rsidR="001B1F0A" w:rsidRPr="00410D67" w:rsidRDefault="001B1F0A" w:rsidP="00AE29E3">
      <w:pPr>
        <w:pStyle w:val="a4"/>
        <w:spacing w:after="0" w:line="360" w:lineRule="auto"/>
        <w:ind w:left="840" w:firstLineChars="0" w:firstLine="0"/>
        <w:rPr>
          <w:b/>
          <w:i/>
          <w:lang w:eastAsia="zh-CN"/>
        </w:rPr>
      </w:pPr>
      <w:r w:rsidRPr="00410D67">
        <w:rPr>
          <w:b/>
          <w:i/>
          <w:lang w:eastAsia="zh-CN"/>
        </w:rPr>
        <w:lastRenderedPageBreak/>
        <w:t>Option 1: DL gaps do not apply for NB-IoT NTN TDD mode.</w:t>
      </w:r>
    </w:p>
    <w:p w:rsidR="001B1F0A" w:rsidRPr="00410D67" w:rsidRDefault="001B1F0A" w:rsidP="00AE29E3">
      <w:pPr>
        <w:pStyle w:val="a4"/>
        <w:spacing w:after="0" w:line="360" w:lineRule="auto"/>
        <w:ind w:left="840" w:firstLineChars="0" w:firstLine="0"/>
        <w:rPr>
          <w:b/>
          <w:i/>
          <w:lang w:eastAsia="zh-CN"/>
        </w:rPr>
      </w:pPr>
      <w:r w:rsidRPr="00410D67">
        <w:rPr>
          <w:b/>
          <w:i/>
          <w:lang w:eastAsia="zh-CN"/>
        </w:rPr>
        <w:t>Option 2: DL gaps apply based on current specifications.</w:t>
      </w:r>
    </w:p>
    <w:p w:rsidR="00144873" w:rsidRPr="00F97FC5" w:rsidRDefault="00144873" w:rsidP="00F97FC5">
      <w:pPr>
        <w:pStyle w:val="1"/>
        <w:spacing w:before="0" w:after="0" w:line="360" w:lineRule="auto"/>
        <w:jc w:val="left"/>
        <w:rPr>
          <w:lang w:eastAsia="zh-CN"/>
        </w:rPr>
      </w:pPr>
      <w:r w:rsidRPr="00F97FC5">
        <w:rPr>
          <w:lang w:eastAsia="zh-CN"/>
        </w:rPr>
        <w:t>PDCCH</w:t>
      </w:r>
      <w:r w:rsidR="00F97FC5">
        <w:rPr>
          <w:lang w:eastAsia="zh-CN"/>
        </w:rPr>
        <w:t xml:space="preserve"> monitoring</w:t>
      </w:r>
    </w:p>
    <w:p w:rsidR="00144873" w:rsidRPr="00410D67" w:rsidRDefault="00410D67" w:rsidP="00F97FC5">
      <w:pPr>
        <w:spacing w:after="0" w:line="360" w:lineRule="auto"/>
        <w:rPr>
          <w:rFonts w:eastAsia="宋体"/>
          <w:bCs/>
          <w:lang w:eastAsia="zh-CN"/>
        </w:rPr>
      </w:pPr>
      <w:r w:rsidRPr="00410D67">
        <w:rPr>
          <w:lang w:eastAsia="zh-CN"/>
        </w:rPr>
        <w:t>It was agreed down-select between 2 options for PDCCH postponing [2].</w:t>
      </w:r>
      <w:r w:rsidRPr="00410D67">
        <w:rPr>
          <w:rFonts w:eastAsia="宋体"/>
          <w:bCs/>
          <w:lang w:eastAsia="zh-CN"/>
        </w:rPr>
        <w:t xml:space="preserve"> </w:t>
      </w:r>
    </w:p>
    <w:tbl>
      <w:tblPr>
        <w:tblStyle w:val="a3"/>
        <w:tblW w:w="0" w:type="auto"/>
        <w:tblLook w:val="04A0" w:firstRow="1" w:lastRow="0" w:firstColumn="1" w:lastColumn="0" w:noHBand="0" w:noVBand="1"/>
      </w:tblPr>
      <w:tblGrid>
        <w:gridCol w:w="9307"/>
      </w:tblGrid>
      <w:tr w:rsidR="00144873" w:rsidRPr="00410D67" w:rsidTr="00144873">
        <w:tc>
          <w:tcPr>
            <w:tcW w:w="9307" w:type="dxa"/>
          </w:tcPr>
          <w:p w:rsidR="00144873" w:rsidRPr="00410D67" w:rsidRDefault="00144873" w:rsidP="00F97FC5">
            <w:pPr>
              <w:spacing w:after="0" w:line="360" w:lineRule="auto"/>
              <w:rPr>
                <w:rFonts w:eastAsia="宋体"/>
                <w:b/>
                <w:bCs/>
                <w:sz w:val="20"/>
              </w:rPr>
            </w:pPr>
            <w:r w:rsidRPr="00410D67">
              <w:rPr>
                <w:rFonts w:eastAsia="宋体"/>
                <w:b/>
                <w:bCs/>
                <w:sz w:val="20"/>
                <w:highlight w:val="green"/>
              </w:rPr>
              <w:t>Agreement</w:t>
            </w:r>
          </w:p>
          <w:p w:rsidR="00144873" w:rsidRPr="00410D67" w:rsidRDefault="00144873" w:rsidP="00F97FC5">
            <w:pPr>
              <w:spacing w:after="0" w:line="360" w:lineRule="auto"/>
              <w:rPr>
                <w:rFonts w:eastAsia="宋体"/>
                <w:bCs/>
                <w:sz w:val="20"/>
                <w:u w:val="single"/>
              </w:rPr>
            </w:pPr>
            <w:r w:rsidRPr="00410D67">
              <w:rPr>
                <w:rFonts w:eastAsia="宋体"/>
                <w:bCs/>
                <w:sz w:val="20"/>
              </w:rPr>
              <w:t>For the issue of handling NPDCCH postponing, down-select among the following options:</w:t>
            </w:r>
          </w:p>
          <w:p w:rsidR="00144873" w:rsidRPr="00410D67" w:rsidRDefault="00144873" w:rsidP="00F97FC5">
            <w:pPr>
              <w:numPr>
                <w:ilvl w:val="0"/>
                <w:numId w:val="12"/>
              </w:numPr>
              <w:overflowPunct w:val="0"/>
              <w:snapToGrid/>
              <w:spacing w:after="0" w:line="360" w:lineRule="auto"/>
              <w:contextualSpacing/>
              <w:jc w:val="left"/>
              <w:textAlignment w:val="baseline"/>
              <w:rPr>
                <w:rFonts w:eastAsia="宋体"/>
                <w:bCs/>
                <w:sz w:val="20"/>
                <w:lang w:eastAsia="zh-CN"/>
              </w:rPr>
            </w:pPr>
            <w:r w:rsidRPr="00410D67">
              <w:rPr>
                <w:rFonts w:eastAsia="宋体"/>
                <w:bCs/>
                <w:sz w:val="20"/>
                <w:lang w:eastAsia="zh-CN"/>
              </w:rPr>
              <w:t>Option 1: No new periodicities are introduced for NPDCCH search space monitoring</w:t>
            </w:r>
          </w:p>
          <w:p w:rsidR="00144873" w:rsidRPr="00410D67" w:rsidRDefault="00144873" w:rsidP="00F97FC5">
            <w:pPr>
              <w:numPr>
                <w:ilvl w:val="1"/>
                <w:numId w:val="12"/>
              </w:numPr>
              <w:overflowPunct w:val="0"/>
              <w:snapToGrid/>
              <w:spacing w:after="0" w:line="360" w:lineRule="auto"/>
              <w:contextualSpacing/>
              <w:jc w:val="left"/>
              <w:textAlignment w:val="baseline"/>
              <w:rPr>
                <w:rFonts w:eastAsia="宋体"/>
                <w:bCs/>
                <w:sz w:val="20"/>
                <w:lang w:eastAsia="zh-CN"/>
              </w:rPr>
            </w:pPr>
            <w:r w:rsidRPr="00410D67">
              <w:rPr>
                <w:rFonts w:eastAsia="宋体"/>
                <w:bCs/>
                <w:sz w:val="20"/>
                <w:lang w:eastAsia="zh-CN"/>
              </w:rPr>
              <w:t>FFS: Changes in postponing / overlapping rules, if any</w:t>
            </w:r>
          </w:p>
          <w:p w:rsidR="00144873" w:rsidRPr="00410D67" w:rsidRDefault="00144873" w:rsidP="00F97FC5">
            <w:pPr>
              <w:numPr>
                <w:ilvl w:val="1"/>
                <w:numId w:val="12"/>
              </w:numPr>
              <w:overflowPunct w:val="0"/>
              <w:snapToGrid/>
              <w:spacing w:after="0" w:line="360" w:lineRule="auto"/>
              <w:contextualSpacing/>
              <w:jc w:val="left"/>
              <w:textAlignment w:val="baseline"/>
              <w:rPr>
                <w:rFonts w:eastAsia="宋体"/>
                <w:bCs/>
                <w:sz w:val="20"/>
                <w:lang w:eastAsia="zh-CN"/>
              </w:rPr>
            </w:pPr>
            <w:r w:rsidRPr="00410D67">
              <w:rPr>
                <w:rFonts w:eastAsia="宋体"/>
                <w:bCs/>
                <w:sz w:val="20"/>
                <w:lang w:eastAsia="zh-CN"/>
              </w:rPr>
              <w:t>FFS: Introduction of constraints on the configuration of search space parameters (e.g. Rmax, G…), if any</w:t>
            </w:r>
          </w:p>
          <w:p w:rsidR="00144873" w:rsidRPr="00410D67" w:rsidRDefault="00144873" w:rsidP="00F97FC5">
            <w:pPr>
              <w:numPr>
                <w:ilvl w:val="0"/>
                <w:numId w:val="12"/>
              </w:numPr>
              <w:overflowPunct w:val="0"/>
              <w:snapToGrid/>
              <w:spacing w:after="0" w:line="360" w:lineRule="auto"/>
              <w:contextualSpacing/>
              <w:jc w:val="left"/>
              <w:textAlignment w:val="baseline"/>
              <w:rPr>
                <w:rFonts w:eastAsia="宋体"/>
                <w:bCs/>
                <w:sz w:val="20"/>
                <w:lang w:eastAsia="zh-CN"/>
              </w:rPr>
            </w:pPr>
            <w:r w:rsidRPr="00410D67">
              <w:rPr>
                <w:rFonts w:eastAsia="宋体"/>
                <w:bCs/>
                <w:sz w:val="20"/>
                <w:lang w:eastAsia="zh-CN"/>
              </w:rPr>
              <w:t>Option 2: New periodicities are introduced for NPDCCH search space monitoring</w:t>
            </w:r>
          </w:p>
          <w:p w:rsidR="00144873" w:rsidRPr="00410D67" w:rsidRDefault="00144873" w:rsidP="00F97FC5">
            <w:pPr>
              <w:numPr>
                <w:ilvl w:val="1"/>
                <w:numId w:val="12"/>
              </w:numPr>
              <w:overflowPunct w:val="0"/>
              <w:snapToGrid/>
              <w:spacing w:after="0" w:line="360" w:lineRule="auto"/>
              <w:contextualSpacing/>
              <w:jc w:val="left"/>
              <w:textAlignment w:val="baseline"/>
              <w:rPr>
                <w:rFonts w:eastAsia="宋体"/>
                <w:bCs/>
                <w:sz w:val="20"/>
                <w:lang w:eastAsia="zh-CN"/>
              </w:rPr>
            </w:pPr>
            <w:r w:rsidRPr="00410D67">
              <w:rPr>
                <w:rFonts w:eastAsia="宋体"/>
                <w:bCs/>
                <w:sz w:val="20"/>
                <w:lang w:eastAsia="zh-CN"/>
              </w:rPr>
              <w:t>FFS: Details of the new periodicity, e.g. the existing periodicity is scaled by a fixed factor F, explicit signalling of the new periodicity, reusing the NB-IoT TN TDD periodicities, etc.</w:t>
            </w:r>
          </w:p>
        </w:tc>
      </w:tr>
    </w:tbl>
    <w:p w:rsidR="00144873" w:rsidRDefault="00076227" w:rsidP="00F97FC5">
      <w:pPr>
        <w:spacing w:after="0" w:line="360" w:lineRule="auto"/>
        <w:rPr>
          <w:rFonts w:eastAsia="宋体"/>
          <w:bCs/>
          <w:lang w:eastAsia="zh-CN"/>
        </w:rPr>
      </w:pPr>
      <w:r>
        <w:rPr>
          <w:rFonts w:eastAsia="宋体"/>
          <w:bCs/>
          <w:lang w:eastAsia="zh-CN"/>
        </w:rPr>
        <w:t>For option 1,</w:t>
      </w:r>
      <w:r w:rsidR="007B39A1">
        <w:rPr>
          <w:rFonts w:eastAsia="宋体"/>
          <w:bCs/>
          <w:lang w:eastAsia="zh-CN"/>
        </w:rPr>
        <w:t xml:space="preserve"> no</w:t>
      </w:r>
      <w:r w:rsidR="00484C5D">
        <w:rPr>
          <w:rFonts w:eastAsia="宋体"/>
          <w:bCs/>
          <w:lang w:eastAsia="zh-CN"/>
        </w:rPr>
        <w:t>t introduce</w:t>
      </w:r>
      <w:r w:rsidR="00410D67" w:rsidRPr="00410D67">
        <w:rPr>
          <w:rFonts w:eastAsia="宋体"/>
          <w:bCs/>
          <w:lang w:eastAsia="zh-CN"/>
        </w:rPr>
        <w:t xml:space="preserve"> new peri</w:t>
      </w:r>
      <w:r w:rsidR="00484C5D">
        <w:rPr>
          <w:rFonts w:eastAsia="宋体"/>
          <w:bCs/>
          <w:lang w:eastAsia="zh-CN"/>
        </w:rPr>
        <w:t>odicities for NPDCCH monitoring</w:t>
      </w:r>
      <w:r w:rsidR="00410D67" w:rsidRPr="00410D67">
        <w:rPr>
          <w:rFonts w:eastAsia="宋体"/>
          <w:bCs/>
          <w:lang w:eastAsia="zh-CN"/>
        </w:rPr>
        <w:t>. Following current spec, there maybe a</w:t>
      </w:r>
      <w:r w:rsidR="007B39A1">
        <w:rPr>
          <w:rFonts w:eastAsia="宋体"/>
          <w:bCs/>
          <w:lang w:eastAsia="zh-CN"/>
        </w:rPr>
        <w:t>n</w:t>
      </w:r>
      <w:r w:rsidR="00410D67" w:rsidRPr="00410D67">
        <w:rPr>
          <w:rFonts w:eastAsia="宋体"/>
          <w:bCs/>
          <w:lang w:eastAsia="zh-CN"/>
        </w:rPr>
        <w:t xml:space="preserve"> issue that two NPDCCH monitoring occasion are overlapped due to TDD pattern. In our view, UE can skip the monitoring occasions of a search space if they overlap with ongoing monitoring occasion of the same search space.</w:t>
      </w:r>
    </w:p>
    <w:p w:rsidR="007B39A1" w:rsidRPr="00484C5D" w:rsidRDefault="00076227" w:rsidP="00F97FC5">
      <w:pPr>
        <w:spacing w:after="0" w:line="360" w:lineRule="auto"/>
        <w:rPr>
          <w:rFonts w:eastAsia="宋体"/>
          <w:bCs/>
          <w:lang w:eastAsia="zh-CN"/>
        </w:rPr>
      </w:pPr>
      <w:r w:rsidRPr="00484C5D">
        <w:rPr>
          <w:rFonts w:eastAsia="宋体"/>
          <w:bCs/>
          <w:lang w:eastAsia="zh-CN"/>
        </w:rPr>
        <w:t>For option 2,</w:t>
      </w:r>
      <w:r w:rsidR="007B39A1" w:rsidRPr="00484C5D">
        <w:rPr>
          <w:rFonts w:eastAsia="宋体"/>
          <w:bCs/>
          <w:lang w:eastAsia="zh-CN"/>
        </w:rPr>
        <w:t xml:space="preserve"> introduce new periodicities for NPDCCH monitoring</w:t>
      </w:r>
      <w:r w:rsidR="00F97FC5" w:rsidRPr="00484C5D">
        <w:rPr>
          <w:rFonts w:eastAsia="宋体"/>
          <w:bCs/>
          <w:lang w:eastAsia="zh-CN"/>
        </w:rPr>
        <w:t xml:space="preserve"> can’t guaranteed search space always in </w:t>
      </w:r>
      <w:r w:rsidR="00AE29E3" w:rsidRPr="00484C5D">
        <w:rPr>
          <w:rFonts w:eastAsia="宋体"/>
          <w:bCs/>
          <w:lang w:eastAsia="zh-CN"/>
        </w:rPr>
        <w:t xml:space="preserve">NB-IoT </w:t>
      </w:r>
      <w:r w:rsidR="00F97FC5" w:rsidRPr="00484C5D">
        <w:rPr>
          <w:rFonts w:eastAsia="宋体"/>
          <w:bCs/>
          <w:lang w:eastAsia="zh-CN"/>
        </w:rPr>
        <w:t>DL subframes.</w:t>
      </w:r>
    </w:p>
    <w:p w:rsidR="00484C5D" w:rsidRPr="00484C5D" w:rsidRDefault="00410D67" w:rsidP="00076227">
      <w:pPr>
        <w:pStyle w:val="a4"/>
        <w:numPr>
          <w:ilvl w:val="0"/>
          <w:numId w:val="7"/>
        </w:numPr>
        <w:spacing w:after="0" w:line="360" w:lineRule="auto"/>
        <w:ind w:firstLineChars="0"/>
        <w:rPr>
          <w:b/>
          <w:i/>
          <w:lang w:eastAsia="zh-CN"/>
        </w:rPr>
      </w:pPr>
      <w:r w:rsidRPr="00410D67">
        <w:rPr>
          <w:rFonts w:eastAsia="宋体"/>
          <w:b/>
          <w:i/>
          <w:lang w:eastAsia="zh-CN"/>
        </w:rPr>
        <w:t>Support option 1 for PDCCH monitoring</w:t>
      </w:r>
      <w:r w:rsidR="00484C5D">
        <w:rPr>
          <w:rFonts w:eastAsia="宋体"/>
          <w:b/>
          <w:i/>
          <w:lang w:eastAsia="zh-CN"/>
        </w:rPr>
        <w:t>.</w:t>
      </w:r>
    </w:p>
    <w:p w:rsidR="00F97FC5" w:rsidRPr="00484C5D" w:rsidRDefault="00484C5D" w:rsidP="00484C5D">
      <w:pPr>
        <w:spacing w:after="0" w:line="360" w:lineRule="auto"/>
        <w:ind w:left="840"/>
        <w:rPr>
          <w:b/>
          <w:i/>
          <w:lang w:eastAsia="zh-CN"/>
        </w:rPr>
      </w:pPr>
      <w:r w:rsidRPr="00484C5D">
        <w:rPr>
          <w:rFonts w:eastAsia="宋体"/>
          <w:b/>
          <w:i/>
          <w:lang w:eastAsia="zh-CN"/>
        </w:rPr>
        <w:t xml:space="preserve">Option 1: </w:t>
      </w:r>
      <w:r w:rsidRPr="00484C5D">
        <w:rPr>
          <w:b/>
          <w:i/>
          <w:lang w:eastAsia="zh-CN"/>
        </w:rPr>
        <w:t>No new periodicities are introduced for NPDCCH search space monitoring.</w:t>
      </w:r>
    </w:p>
    <w:p w:rsidR="001B1F0A" w:rsidRPr="00410D67" w:rsidRDefault="001B1F0A" w:rsidP="00F97FC5">
      <w:pPr>
        <w:pStyle w:val="1"/>
        <w:spacing w:before="0" w:after="0" w:line="360" w:lineRule="auto"/>
        <w:jc w:val="left"/>
        <w:rPr>
          <w:lang w:eastAsia="zh-CN"/>
        </w:rPr>
      </w:pPr>
      <w:r>
        <w:rPr>
          <w:lang w:eastAsia="zh-CN"/>
        </w:rPr>
        <w:t xml:space="preserve">GNSS </w:t>
      </w:r>
      <w:r w:rsidR="00F97FC5">
        <w:rPr>
          <w:lang w:eastAsia="zh-CN"/>
        </w:rPr>
        <w:t>measurement</w:t>
      </w:r>
    </w:p>
    <w:p w:rsidR="001B1F0A" w:rsidRPr="001B1F0A" w:rsidRDefault="00F97FC5" w:rsidP="00F97FC5">
      <w:pPr>
        <w:spacing w:after="0" w:line="360" w:lineRule="auto"/>
        <w:rPr>
          <w:rFonts w:eastAsia="宋体"/>
          <w:lang w:eastAsia="zh-CN"/>
        </w:rPr>
      </w:pPr>
      <w:r>
        <w:rPr>
          <w:rFonts w:eastAsia="宋体"/>
          <w:lang w:eastAsia="zh-CN"/>
        </w:rPr>
        <w:t xml:space="preserve">In RAN1#120bis, there are 3 </w:t>
      </w:r>
      <w:r w:rsidR="00484C5D">
        <w:rPr>
          <w:rFonts w:eastAsia="宋体"/>
          <w:lang w:eastAsia="zh-CN"/>
        </w:rPr>
        <w:t xml:space="preserve">candidate </w:t>
      </w:r>
      <w:r>
        <w:rPr>
          <w:rFonts w:eastAsia="宋体"/>
          <w:lang w:eastAsia="zh-CN"/>
        </w:rPr>
        <w:t xml:space="preserve">options </w:t>
      </w:r>
      <w:r w:rsidR="00AE29E3">
        <w:rPr>
          <w:rFonts w:eastAsia="宋体"/>
          <w:lang w:eastAsia="zh-CN"/>
        </w:rPr>
        <w:t>for GNSS measurement.</w:t>
      </w:r>
    </w:p>
    <w:tbl>
      <w:tblPr>
        <w:tblStyle w:val="a3"/>
        <w:tblW w:w="0" w:type="auto"/>
        <w:tblLook w:val="04A0" w:firstRow="1" w:lastRow="0" w:firstColumn="1" w:lastColumn="0" w:noHBand="0" w:noVBand="1"/>
      </w:tblPr>
      <w:tblGrid>
        <w:gridCol w:w="9307"/>
      </w:tblGrid>
      <w:tr w:rsidR="001B1F0A" w:rsidRPr="001B1F0A" w:rsidTr="001B1F0A">
        <w:tc>
          <w:tcPr>
            <w:tcW w:w="9307" w:type="dxa"/>
          </w:tcPr>
          <w:p w:rsidR="001B1F0A" w:rsidRPr="001B1F0A" w:rsidRDefault="001B1F0A" w:rsidP="00F97FC5">
            <w:pPr>
              <w:spacing w:after="0" w:line="360" w:lineRule="auto"/>
              <w:rPr>
                <w:rFonts w:eastAsia="宋体"/>
                <w:b/>
                <w:bCs/>
                <w:sz w:val="20"/>
              </w:rPr>
            </w:pPr>
            <w:r w:rsidRPr="001B1F0A">
              <w:rPr>
                <w:rFonts w:eastAsia="宋体"/>
                <w:b/>
                <w:bCs/>
                <w:sz w:val="20"/>
                <w:highlight w:val="green"/>
              </w:rPr>
              <w:t>Agreement</w:t>
            </w:r>
          </w:p>
          <w:p w:rsidR="001B1F0A" w:rsidRPr="001B1F0A" w:rsidRDefault="001B1F0A" w:rsidP="00F97FC5">
            <w:pPr>
              <w:spacing w:after="0" w:line="360" w:lineRule="auto"/>
              <w:rPr>
                <w:rFonts w:eastAsia="宋体"/>
                <w:sz w:val="20"/>
                <w:lang w:eastAsia="zh-CN"/>
              </w:rPr>
            </w:pPr>
            <w:r w:rsidRPr="001B1F0A">
              <w:rPr>
                <w:rFonts w:eastAsia="宋体"/>
                <w:bCs/>
                <w:sz w:val="20"/>
                <w:lang w:eastAsia="zh-CN"/>
              </w:rPr>
              <w:t xml:space="preserve">For GNSS measurement gap, RAN1 to further discuss at least the following options: </w:t>
            </w:r>
          </w:p>
          <w:p w:rsidR="001B1F0A" w:rsidRPr="001B1F0A" w:rsidRDefault="001B1F0A" w:rsidP="00F97FC5">
            <w:pPr>
              <w:numPr>
                <w:ilvl w:val="0"/>
                <w:numId w:val="15"/>
              </w:numPr>
              <w:overflowPunct w:val="0"/>
              <w:snapToGrid/>
              <w:spacing w:after="0" w:line="360" w:lineRule="auto"/>
              <w:contextualSpacing/>
              <w:jc w:val="left"/>
              <w:textAlignment w:val="baseline"/>
              <w:rPr>
                <w:rFonts w:eastAsia="宋体"/>
                <w:sz w:val="20"/>
                <w:lang w:eastAsia="zh-CN"/>
              </w:rPr>
            </w:pPr>
            <w:r w:rsidRPr="001B1F0A">
              <w:rPr>
                <w:rFonts w:eastAsia="宋体"/>
                <w:sz w:val="20"/>
                <w:lang w:eastAsia="zh-CN"/>
              </w:rPr>
              <w:t>Option 1: No enhancement on the Rel-18 timeline for the start of GNSS gap</w:t>
            </w:r>
          </w:p>
          <w:p w:rsidR="001B1F0A" w:rsidRPr="001B1F0A" w:rsidRDefault="001B1F0A" w:rsidP="00F97FC5">
            <w:pPr>
              <w:numPr>
                <w:ilvl w:val="0"/>
                <w:numId w:val="15"/>
              </w:numPr>
              <w:overflowPunct w:val="0"/>
              <w:snapToGrid/>
              <w:spacing w:after="0" w:line="360" w:lineRule="auto"/>
              <w:contextualSpacing/>
              <w:jc w:val="left"/>
              <w:textAlignment w:val="baseline"/>
              <w:rPr>
                <w:rFonts w:eastAsia="宋体"/>
                <w:sz w:val="20"/>
                <w:lang w:eastAsia="zh-CN"/>
              </w:rPr>
            </w:pPr>
            <w:r w:rsidRPr="001B1F0A">
              <w:rPr>
                <w:rFonts w:eastAsia="宋体"/>
                <w:sz w:val="20"/>
                <w:lang w:eastAsia="zh-CN"/>
              </w:rPr>
              <w:t xml:space="preserve">Option 2: The start of the GNSS measurement gap starts at a non-D/non-U subframe </w:t>
            </w:r>
          </w:p>
          <w:p w:rsidR="001B1F0A" w:rsidRPr="00AE29E3" w:rsidRDefault="001B1F0A" w:rsidP="00F97FC5">
            <w:pPr>
              <w:numPr>
                <w:ilvl w:val="0"/>
                <w:numId w:val="15"/>
              </w:numPr>
              <w:overflowPunct w:val="0"/>
              <w:snapToGrid/>
              <w:spacing w:after="0" w:line="360" w:lineRule="auto"/>
              <w:contextualSpacing/>
              <w:jc w:val="left"/>
              <w:textAlignment w:val="baseline"/>
              <w:rPr>
                <w:rFonts w:eastAsia="宋体"/>
                <w:sz w:val="20"/>
                <w:lang w:eastAsia="zh-CN"/>
              </w:rPr>
            </w:pPr>
            <w:r w:rsidRPr="001B1F0A">
              <w:rPr>
                <w:rFonts w:eastAsia="宋体"/>
                <w:sz w:val="20"/>
                <w:lang w:eastAsia="zh-CN"/>
              </w:rPr>
              <w:t>Option 3: GNSS measurement gap does not apply for NB-IoT NTN TDD</w:t>
            </w:r>
          </w:p>
        </w:tc>
      </w:tr>
    </w:tbl>
    <w:p w:rsidR="001B1F0A" w:rsidRDefault="00076227" w:rsidP="00076227">
      <w:pPr>
        <w:spacing w:after="0" w:line="360" w:lineRule="auto"/>
        <w:rPr>
          <w:rFonts w:eastAsia="宋体"/>
          <w:lang w:eastAsia="zh-CN"/>
        </w:rPr>
      </w:pPr>
      <w:r>
        <w:rPr>
          <w:rFonts w:eastAsia="宋体"/>
          <w:lang w:eastAsia="zh-CN"/>
        </w:rPr>
        <w:t xml:space="preserve">If a connected mode UE </w:t>
      </w:r>
      <w:r w:rsidRPr="00076227">
        <w:rPr>
          <w:rFonts w:eastAsia="宋体"/>
          <w:lang w:eastAsia="zh-CN"/>
        </w:rPr>
        <w:t xml:space="preserve">communicates with the network for a long time, it may lose </w:t>
      </w:r>
      <w:r>
        <w:rPr>
          <w:rFonts w:eastAsia="宋体"/>
          <w:lang w:eastAsia="zh-CN"/>
        </w:rPr>
        <w:t>UL synchronization due</w:t>
      </w:r>
      <w:r w:rsidRPr="00076227">
        <w:rPr>
          <w:rFonts w:eastAsia="宋体"/>
          <w:lang w:eastAsia="zh-CN"/>
        </w:rPr>
        <w:t xml:space="preserve"> </w:t>
      </w:r>
      <w:r w:rsidR="00484C5D">
        <w:rPr>
          <w:rFonts w:eastAsia="宋体"/>
          <w:lang w:eastAsia="zh-CN"/>
        </w:rPr>
        <w:t xml:space="preserve">to </w:t>
      </w:r>
      <w:r w:rsidRPr="00076227">
        <w:rPr>
          <w:rFonts w:eastAsia="宋体"/>
          <w:lang w:eastAsia="zh-CN"/>
        </w:rPr>
        <w:t>GNSS</w:t>
      </w:r>
      <w:r>
        <w:rPr>
          <w:rFonts w:eastAsia="宋体"/>
          <w:lang w:eastAsia="zh-CN"/>
        </w:rPr>
        <w:t xml:space="preserve"> position is invalid, so GNSS measurement </w:t>
      </w:r>
      <w:r w:rsidR="00802BB0">
        <w:rPr>
          <w:rFonts w:eastAsia="宋体"/>
          <w:lang w:eastAsia="zh-CN"/>
        </w:rPr>
        <w:t xml:space="preserve">gap </w:t>
      </w:r>
      <w:r>
        <w:rPr>
          <w:rFonts w:eastAsia="宋体"/>
          <w:lang w:eastAsia="zh-CN"/>
        </w:rPr>
        <w:t>is introduced</w:t>
      </w:r>
      <w:r w:rsidR="00802BB0">
        <w:rPr>
          <w:rFonts w:eastAsia="宋体"/>
          <w:lang w:eastAsia="zh-CN"/>
        </w:rPr>
        <w:t>. During GNSS measurement gap, UE stop transmission/reception and perform GNSS measurement</w:t>
      </w:r>
      <w:r>
        <w:rPr>
          <w:rFonts w:eastAsia="宋体"/>
          <w:lang w:eastAsia="zh-CN"/>
        </w:rPr>
        <w:t>.</w:t>
      </w:r>
    </w:p>
    <w:p w:rsidR="00802BB0" w:rsidRPr="001B1F0A" w:rsidRDefault="00802BB0" w:rsidP="00076227">
      <w:pPr>
        <w:spacing w:after="0" w:line="360" w:lineRule="auto"/>
        <w:rPr>
          <w:rFonts w:eastAsia="宋体"/>
          <w:lang w:eastAsia="zh-CN"/>
        </w:rPr>
      </w:pPr>
      <w:r>
        <w:rPr>
          <w:rFonts w:eastAsia="宋体"/>
          <w:lang w:eastAsia="zh-CN"/>
        </w:rPr>
        <w:t>In TDD mode, there are only 8 subframes for UL and DL respectively during 90ms period and a 50ms guard time is introduced. We think UE can perform GNSS measurement in non-D and non-U subframes. it is unnecessary to apply GNSS measurement gap in TDD mode and it is up to UE implementation to perform GNSS measurement.</w:t>
      </w:r>
    </w:p>
    <w:p w:rsidR="00484C5D" w:rsidRPr="00484C5D" w:rsidRDefault="00802BB0" w:rsidP="00802BB0">
      <w:pPr>
        <w:pStyle w:val="a4"/>
        <w:numPr>
          <w:ilvl w:val="0"/>
          <w:numId w:val="7"/>
        </w:numPr>
        <w:spacing w:after="0" w:line="360" w:lineRule="auto"/>
        <w:ind w:firstLineChars="0"/>
        <w:rPr>
          <w:b/>
          <w:i/>
          <w:lang w:eastAsia="zh-CN"/>
        </w:rPr>
      </w:pPr>
      <w:r w:rsidRPr="00410D67">
        <w:rPr>
          <w:rFonts w:eastAsia="宋体"/>
          <w:b/>
          <w:i/>
          <w:lang w:eastAsia="zh-CN"/>
        </w:rPr>
        <w:t xml:space="preserve">Support option </w:t>
      </w:r>
      <w:r>
        <w:rPr>
          <w:rFonts w:eastAsia="宋体"/>
          <w:b/>
          <w:i/>
          <w:lang w:eastAsia="zh-CN"/>
        </w:rPr>
        <w:t>3</w:t>
      </w:r>
      <w:r w:rsidRPr="00410D67">
        <w:rPr>
          <w:rFonts w:eastAsia="宋体"/>
          <w:b/>
          <w:i/>
          <w:lang w:eastAsia="zh-CN"/>
        </w:rPr>
        <w:t xml:space="preserve"> for </w:t>
      </w:r>
      <w:r w:rsidR="00484C5D">
        <w:rPr>
          <w:rFonts w:eastAsia="宋体"/>
          <w:b/>
          <w:i/>
          <w:lang w:eastAsia="zh-CN"/>
        </w:rPr>
        <w:t>GNSS measurement.</w:t>
      </w:r>
    </w:p>
    <w:p w:rsidR="00802BB0" w:rsidRPr="00484C5D" w:rsidRDefault="00484C5D" w:rsidP="00484C5D">
      <w:pPr>
        <w:spacing w:after="0" w:line="360" w:lineRule="auto"/>
        <w:ind w:left="420" w:firstLine="420"/>
        <w:rPr>
          <w:b/>
          <w:i/>
          <w:lang w:eastAsia="zh-CN"/>
        </w:rPr>
      </w:pPr>
      <w:r>
        <w:rPr>
          <w:rFonts w:eastAsia="宋体"/>
          <w:b/>
          <w:i/>
          <w:lang w:eastAsia="zh-CN"/>
        </w:rPr>
        <w:t xml:space="preserve">Option 3: </w:t>
      </w:r>
      <w:r w:rsidR="00802BB0" w:rsidRPr="00484C5D">
        <w:rPr>
          <w:rFonts w:eastAsia="宋体"/>
          <w:b/>
          <w:i/>
          <w:lang w:eastAsia="zh-CN"/>
        </w:rPr>
        <w:t>GNSS measurement gap does not apply for NB-IoT NTN TDD</w:t>
      </w:r>
    </w:p>
    <w:p w:rsidR="001B1F0A" w:rsidRPr="001B1F0A" w:rsidRDefault="001B1F0A" w:rsidP="00F97FC5">
      <w:pPr>
        <w:spacing w:after="0" w:line="360" w:lineRule="auto"/>
        <w:rPr>
          <w:rFonts w:eastAsia="宋体"/>
          <w:b/>
          <w:i/>
          <w:lang w:eastAsia="zh-CN"/>
        </w:rPr>
      </w:pPr>
    </w:p>
    <w:p w:rsidR="002569B4" w:rsidRPr="00410D67" w:rsidRDefault="002569B4" w:rsidP="00F97FC5">
      <w:pPr>
        <w:pStyle w:val="1"/>
        <w:spacing w:before="0" w:after="0" w:line="360" w:lineRule="auto"/>
      </w:pPr>
      <w:r w:rsidRPr="00410D67">
        <w:t>Conclusion</w:t>
      </w:r>
    </w:p>
    <w:p w:rsidR="002569B4" w:rsidRDefault="002569B4" w:rsidP="00F97FC5">
      <w:pPr>
        <w:spacing w:after="0" w:line="360" w:lineRule="auto"/>
        <w:rPr>
          <w:lang w:eastAsia="zh-CN"/>
        </w:rPr>
      </w:pPr>
      <w:r w:rsidRPr="00410D67">
        <w:rPr>
          <w:lang w:eastAsia="zh-CN"/>
        </w:rPr>
        <w:t>In this contribution, we provided views on IoT-NTN TDD mode. In summary, we have following observations and proposals:</w:t>
      </w:r>
    </w:p>
    <w:p w:rsidR="00802BB0" w:rsidRPr="00410D67" w:rsidRDefault="00802BB0" w:rsidP="00802BB0">
      <w:pPr>
        <w:pStyle w:val="a4"/>
        <w:numPr>
          <w:ilvl w:val="0"/>
          <w:numId w:val="21"/>
        </w:numPr>
        <w:spacing w:after="0" w:line="360" w:lineRule="auto"/>
        <w:ind w:firstLineChars="0"/>
        <w:rPr>
          <w:b/>
          <w:i/>
          <w:lang w:eastAsia="zh-CN"/>
        </w:rPr>
      </w:pPr>
      <w:r w:rsidRPr="00410D67">
        <w:rPr>
          <w:rFonts w:eastAsia="宋体"/>
          <w:b/>
          <w:i/>
          <w:lang w:eastAsia="zh-CN"/>
        </w:rPr>
        <w:t>Support option 1 or option 2 for DL gaps.</w:t>
      </w:r>
    </w:p>
    <w:p w:rsidR="00802BB0" w:rsidRPr="00410D67" w:rsidRDefault="00802BB0" w:rsidP="00802BB0">
      <w:pPr>
        <w:pStyle w:val="a4"/>
        <w:spacing w:after="0" w:line="360" w:lineRule="auto"/>
        <w:ind w:left="840" w:firstLineChars="0" w:firstLine="0"/>
        <w:rPr>
          <w:b/>
          <w:i/>
          <w:lang w:eastAsia="zh-CN"/>
        </w:rPr>
      </w:pPr>
      <w:r w:rsidRPr="00410D67">
        <w:rPr>
          <w:b/>
          <w:i/>
          <w:lang w:eastAsia="zh-CN"/>
        </w:rPr>
        <w:t>Option 1: DL gaps do not apply for NB-IoT NTN TDD mode.</w:t>
      </w:r>
    </w:p>
    <w:p w:rsidR="00802BB0" w:rsidRPr="00410D67" w:rsidRDefault="00802BB0" w:rsidP="00802BB0">
      <w:pPr>
        <w:pStyle w:val="a4"/>
        <w:spacing w:after="0" w:line="360" w:lineRule="auto"/>
        <w:ind w:left="840" w:firstLineChars="0" w:firstLine="0"/>
        <w:rPr>
          <w:b/>
          <w:i/>
          <w:lang w:eastAsia="zh-CN"/>
        </w:rPr>
      </w:pPr>
      <w:r w:rsidRPr="00410D67">
        <w:rPr>
          <w:b/>
          <w:i/>
          <w:lang w:eastAsia="zh-CN"/>
        </w:rPr>
        <w:t>Option 2: DL gaps apply based on current specifications.</w:t>
      </w:r>
    </w:p>
    <w:p w:rsidR="00484C5D" w:rsidRPr="00484C5D" w:rsidRDefault="00484C5D" w:rsidP="00484C5D">
      <w:pPr>
        <w:pStyle w:val="a4"/>
        <w:numPr>
          <w:ilvl w:val="0"/>
          <w:numId w:val="21"/>
        </w:numPr>
        <w:spacing w:after="0" w:line="360" w:lineRule="auto"/>
        <w:ind w:firstLineChars="0"/>
        <w:rPr>
          <w:b/>
          <w:i/>
          <w:lang w:eastAsia="zh-CN"/>
        </w:rPr>
      </w:pPr>
      <w:r w:rsidRPr="00410D67">
        <w:rPr>
          <w:rFonts w:eastAsia="宋体"/>
          <w:b/>
          <w:i/>
          <w:lang w:eastAsia="zh-CN"/>
        </w:rPr>
        <w:t>Support option 1 for PDCCH monitoring</w:t>
      </w:r>
      <w:r>
        <w:rPr>
          <w:rFonts w:eastAsia="宋体"/>
          <w:b/>
          <w:i/>
          <w:lang w:eastAsia="zh-CN"/>
        </w:rPr>
        <w:t>.</w:t>
      </w:r>
    </w:p>
    <w:p w:rsidR="00484C5D" w:rsidRPr="00076227" w:rsidRDefault="00484C5D" w:rsidP="00484C5D">
      <w:pPr>
        <w:pStyle w:val="a4"/>
        <w:spacing w:after="0" w:line="360" w:lineRule="auto"/>
        <w:ind w:left="420" w:firstLineChars="0"/>
        <w:rPr>
          <w:b/>
          <w:i/>
          <w:lang w:eastAsia="zh-CN"/>
        </w:rPr>
      </w:pPr>
      <w:r>
        <w:rPr>
          <w:rFonts w:eastAsia="宋体"/>
          <w:b/>
          <w:i/>
          <w:lang w:eastAsia="zh-CN"/>
        </w:rPr>
        <w:t xml:space="preserve">Option 1: </w:t>
      </w:r>
      <w:r w:rsidRPr="00484C5D">
        <w:rPr>
          <w:b/>
          <w:i/>
          <w:lang w:eastAsia="zh-CN"/>
        </w:rPr>
        <w:t>No new periodicities are introduced for NPDCCH search space monitoring</w:t>
      </w:r>
      <w:r>
        <w:rPr>
          <w:b/>
          <w:i/>
          <w:lang w:eastAsia="zh-CN"/>
        </w:rPr>
        <w:t>.</w:t>
      </w:r>
    </w:p>
    <w:p w:rsidR="00484C5D" w:rsidRPr="00484C5D" w:rsidRDefault="00484C5D" w:rsidP="00484C5D">
      <w:pPr>
        <w:pStyle w:val="a4"/>
        <w:numPr>
          <w:ilvl w:val="0"/>
          <w:numId w:val="21"/>
        </w:numPr>
        <w:spacing w:after="0" w:line="360" w:lineRule="auto"/>
        <w:ind w:firstLineChars="0"/>
        <w:rPr>
          <w:b/>
          <w:i/>
          <w:lang w:eastAsia="zh-CN"/>
        </w:rPr>
      </w:pPr>
      <w:r w:rsidRPr="00410D67">
        <w:rPr>
          <w:rFonts w:eastAsia="宋体"/>
          <w:b/>
          <w:i/>
          <w:lang w:eastAsia="zh-CN"/>
        </w:rPr>
        <w:t xml:space="preserve">Support option </w:t>
      </w:r>
      <w:r>
        <w:rPr>
          <w:rFonts w:eastAsia="宋体"/>
          <w:b/>
          <w:i/>
          <w:lang w:eastAsia="zh-CN"/>
        </w:rPr>
        <w:t>3</w:t>
      </w:r>
      <w:r w:rsidRPr="00410D67">
        <w:rPr>
          <w:rFonts w:eastAsia="宋体"/>
          <w:b/>
          <w:i/>
          <w:lang w:eastAsia="zh-CN"/>
        </w:rPr>
        <w:t xml:space="preserve"> f</w:t>
      </w:r>
      <w:bookmarkStart w:id="1" w:name="_GoBack"/>
      <w:bookmarkEnd w:id="1"/>
      <w:r w:rsidRPr="00410D67">
        <w:rPr>
          <w:rFonts w:eastAsia="宋体"/>
          <w:b/>
          <w:i/>
          <w:lang w:eastAsia="zh-CN"/>
        </w:rPr>
        <w:t xml:space="preserve">or </w:t>
      </w:r>
      <w:r>
        <w:rPr>
          <w:rFonts w:eastAsia="宋体"/>
          <w:b/>
          <w:i/>
          <w:lang w:eastAsia="zh-CN"/>
        </w:rPr>
        <w:t>GNSS measurement.</w:t>
      </w:r>
    </w:p>
    <w:p w:rsidR="00484C5D" w:rsidRPr="00484C5D" w:rsidRDefault="00484C5D" w:rsidP="00484C5D">
      <w:pPr>
        <w:spacing w:after="0" w:line="360" w:lineRule="auto"/>
        <w:ind w:left="420" w:firstLine="420"/>
        <w:rPr>
          <w:b/>
          <w:i/>
          <w:lang w:eastAsia="zh-CN"/>
        </w:rPr>
      </w:pPr>
      <w:r>
        <w:rPr>
          <w:rFonts w:eastAsia="宋体"/>
          <w:b/>
          <w:i/>
          <w:lang w:eastAsia="zh-CN"/>
        </w:rPr>
        <w:t xml:space="preserve">Option 3: </w:t>
      </w:r>
      <w:r w:rsidRPr="00484C5D">
        <w:rPr>
          <w:rFonts w:eastAsia="宋体"/>
          <w:b/>
          <w:i/>
          <w:lang w:eastAsia="zh-CN"/>
        </w:rPr>
        <w:t>GNSS measurement gap does not apply for NB-IoT NTN TDD</w:t>
      </w:r>
    </w:p>
    <w:p w:rsidR="002569B4" w:rsidRPr="00410D67" w:rsidRDefault="002569B4" w:rsidP="00F97FC5">
      <w:pPr>
        <w:pStyle w:val="1"/>
        <w:spacing w:before="0" w:after="0" w:line="360" w:lineRule="auto"/>
      </w:pPr>
      <w:r w:rsidRPr="00410D67">
        <w:t>Reference</w:t>
      </w:r>
    </w:p>
    <w:p w:rsidR="00DF46B2" w:rsidRPr="00410D67" w:rsidRDefault="002569B4" w:rsidP="00F97FC5">
      <w:pPr>
        <w:pStyle w:val="a4"/>
        <w:numPr>
          <w:ilvl w:val="0"/>
          <w:numId w:val="2"/>
        </w:numPr>
        <w:spacing w:after="0" w:line="360" w:lineRule="auto"/>
        <w:ind w:firstLineChars="0"/>
        <w:rPr>
          <w:szCs w:val="20"/>
          <w:lang w:eastAsia="zh-CN"/>
        </w:rPr>
      </w:pPr>
      <w:r w:rsidRPr="00410D67">
        <w:rPr>
          <w:szCs w:val="20"/>
          <w:lang w:eastAsia="zh-CN"/>
        </w:rPr>
        <w:t>RP-</w:t>
      </w:r>
      <w:r w:rsidRPr="00410D67">
        <w:t xml:space="preserve"> </w:t>
      </w:r>
      <w:r w:rsidRPr="00410D67">
        <w:rPr>
          <w:szCs w:val="20"/>
          <w:lang w:eastAsia="zh-CN"/>
        </w:rPr>
        <w:t>243293, “New WID on introduction of IoT-NTN TDD mode”, Moderator (RAN1 Vice-Chair).</w:t>
      </w:r>
    </w:p>
    <w:p w:rsidR="008536E9" w:rsidRPr="00410D67" w:rsidRDefault="002569B4" w:rsidP="00F97FC5">
      <w:pPr>
        <w:pStyle w:val="a4"/>
        <w:numPr>
          <w:ilvl w:val="0"/>
          <w:numId w:val="2"/>
        </w:numPr>
        <w:spacing w:after="0" w:line="360" w:lineRule="auto"/>
        <w:ind w:firstLineChars="0"/>
      </w:pPr>
      <w:r w:rsidRPr="00410D67">
        <w:rPr>
          <w:szCs w:val="20"/>
          <w:lang w:val="en-GB" w:eastAsia="zh-CN"/>
        </w:rPr>
        <w:t>3GPP, Chairman’s Notes, RAN1 #1</w:t>
      </w:r>
      <w:r w:rsidR="00A30963" w:rsidRPr="00410D67">
        <w:rPr>
          <w:szCs w:val="20"/>
          <w:lang w:val="en-GB" w:eastAsia="zh-CN"/>
        </w:rPr>
        <w:t>20</w:t>
      </w:r>
      <w:r w:rsidR="00410D67" w:rsidRPr="00410D67">
        <w:rPr>
          <w:szCs w:val="20"/>
          <w:lang w:val="en-GB" w:eastAsia="zh-CN"/>
        </w:rPr>
        <w:t>bis</w:t>
      </w:r>
      <w:r w:rsidRPr="00410D67">
        <w:rPr>
          <w:szCs w:val="20"/>
          <w:lang w:val="en-GB" w:eastAsia="zh-CN"/>
        </w:rPr>
        <w:t>.</w:t>
      </w:r>
    </w:p>
    <w:sectPr w:rsidR="008536E9" w:rsidRPr="00410D67" w:rsidSect="00F97FC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8E0" w:rsidRDefault="001238E0" w:rsidP="00E63E4A">
      <w:pPr>
        <w:spacing w:after="0"/>
      </w:pPr>
      <w:r>
        <w:separator/>
      </w:r>
    </w:p>
  </w:endnote>
  <w:endnote w:type="continuationSeparator" w:id="0">
    <w:p w:rsidR="001238E0" w:rsidRDefault="001238E0" w:rsidP="00E63E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8E0" w:rsidRDefault="001238E0" w:rsidP="00E63E4A">
      <w:pPr>
        <w:spacing w:after="0"/>
      </w:pPr>
      <w:r>
        <w:separator/>
      </w:r>
    </w:p>
  </w:footnote>
  <w:footnote w:type="continuationSeparator" w:id="0">
    <w:p w:rsidR="001238E0" w:rsidRDefault="001238E0" w:rsidP="00E63E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9E2E59"/>
    <w:multiLevelType w:val="hybridMultilevel"/>
    <w:tmpl w:val="6DC0DF8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A05E0"/>
    <w:multiLevelType w:val="hybridMultilevel"/>
    <w:tmpl w:val="C1F09212"/>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C56663"/>
    <w:multiLevelType w:val="hybridMultilevel"/>
    <w:tmpl w:val="B35A2DE4"/>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0D2476"/>
    <w:multiLevelType w:val="hybridMultilevel"/>
    <w:tmpl w:val="33603ADA"/>
    <w:lvl w:ilvl="0" w:tplc="A600D336">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DEF6C52"/>
    <w:multiLevelType w:val="hybridMultilevel"/>
    <w:tmpl w:val="E75EA0C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919148F"/>
    <w:multiLevelType w:val="hybridMultilevel"/>
    <w:tmpl w:val="33603ADA"/>
    <w:lvl w:ilvl="0" w:tplc="A600D336">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582570"/>
    <w:multiLevelType w:val="hybridMultilevel"/>
    <w:tmpl w:val="5826FBFE"/>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7"/>
  </w:num>
  <w:num w:numId="3">
    <w:abstractNumId w:val="12"/>
  </w:num>
  <w:num w:numId="4">
    <w:abstractNumId w:val="0"/>
  </w:num>
  <w:num w:numId="5">
    <w:abstractNumId w:val="15"/>
  </w:num>
  <w:num w:numId="6">
    <w:abstractNumId w:val="11"/>
  </w:num>
  <w:num w:numId="7">
    <w:abstractNumId w:val="6"/>
  </w:num>
  <w:num w:numId="8">
    <w:abstractNumId w:val="16"/>
  </w:num>
  <w:num w:numId="9">
    <w:abstractNumId w:val="10"/>
  </w:num>
  <w:num w:numId="10">
    <w:abstractNumId w:val="8"/>
  </w:num>
  <w:num w:numId="11">
    <w:abstractNumId w:val="5"/>
  </w:num>
  <w:num w:numId="12">
    <w:abstractNumId w:val="14"/>
  </w:num>
  <w:num w:numId="13">
    <w:abstractNumId w:val="2"/>
  </w:num>
  <w:num w:numId="14">
    <w:abstractNumId w:val="4"/>
  </w:num>
  <w:num w:numId="15">
    <w:abstractNumId w:val="9"/>
  </w:num>
  <w:num w:numId="16">
    <w:abstractNumId w:val="13"/>
  </w:num>
  <w:num w:numId="17">
    <w:abstractNumId w:val="1"/>
  </w:num>
  <w:num w:numId="18">
    <w:abstractNumId w:val="3"/>
  </w:num>
  <w:num w:numId="19">
    <w:abstractNumId w:val="13"/>
  </w:num>
  <w:num w:numId="20">
    <w:abstractNumId w:val="13"/>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9B4"/>
    <w:rsid w:val="00000A9B"/>
    <w:rsid w:val="00041854"/>
    <w:rsid w:val="00076227"/>
    <w:rsid w:val="00080AE9"/>
    <w:rsid w:val="00104809"/>
    <w:rsid w:val="00117B5E"/>
    <w:rsid w:val="001238E0"/>
    <w:rsid w:val="00144873"/>
    <w:rsid w:val="00155D8F"/>
    <w:rsid w:val="001A3120"/>
    <w:rsid w:val="001B1F0A"/>
    <w:rsid w:val="0022250A"/>
    <w:rsid w:val="00243A8F"/>
    <w:rsid w:val="002501AE"/>
    <w:rsid w:val="002569B4"/>
    <w:rsid w:val="002573AB"/>
    <w:rsid w:val="002A0C69"/>
    <w:rsid w:val="002C16EC"/>
    <w:rsid w:val="002D4559"/>
    <w:rsid w:val="003F62F7"/>
    <w:rsid w:val="00410D67"/>
    <w:rsid w:val="00456F7B"/>
    <w:rsid w:val="00464F18"/>
    <w:rsid w:val="00484C5D"/>
    <w:rsid w:val="00486448"/>
    <w:rsid w:val="004878ED"/>
    <w:rsid w:val="004B07AE"/>
    <w:rsid w:val="004B74D4"/>
    <w:rsid w:val="004E3C44"/>
    <w:rsid w:val="004E64D2"/>
    <w:rsid w:val="00504CD9"/>
    <w:rsid w:val="0050721B"/>
    <w:rsid w:val="00517BA9"/>
    <w:rsid w:val="00521163"/>
    <w:rsid w:val="005645B9"/>
    <w:rsid w:val="00580060"/>
    <w:rsid w:val="005B7C8C"/>
    <w:rsid w:val="005F119B"/>
    <w:rsid w:val="00635C66"/>
    <w:rsid w:val="006666B5"/>
    <w:rsid w:val="006729F8"/>
    <w:rsid w:val="006A5972"/>
    <w:rsid w:val="006C140E"/>
    <w:rsid w:val="00711DD0"/>
    <w:rsid w:val="00770C22"/>
    <w:rsid w:val="007A0796"/>
    <w:rsid w:val="007B39A1"/>
    <w:rsid w:val="007B5EC9"/>
    <w:rsid w:val="007C4752"/>
    <w:rsid w:val="007C5E8F"/>
    <w:rsid w:val="00802BB0"/>
    <w:rsid w:val="008344BD"/>
    <w:rsid w:val="008536E9"/>
    <w:rsid w:val="00862A8E"/>
    <w:rsid w:val="008D55D3"/>
    <w:rsid w:val="0090192B"/>
    <w:rsid w:val="00917068"/>
    <w:rsid w:val="00947B8D"/>
    <w:rsid w:val="009701F4"/>
    <w:rsid w:val="00972044"/>
    <w:rsid w:val="009A421C"/>
    <w:rsid w:val="009F54E0"/>
    <w:rsid w:val="00A01A98"/>
    <w:rsid w:val="00A25631"/>
    <w:rsid w:val="00A30963"/>
    <w:rsid w:val="00A3407E"/>
    <w:rsid w:val="00A5340F"/>
    <w:rsid w:val="00A90835"/>
    <w:rsid w:val="00A969D1"/>
    <w:rsid w:val="00AC1A8D"/>
    <w:rsid w:val="00AE29E3"/>
    <w:rsid w:val="00AE2F4B"/>
    <w:rsid w:val="00AF33A9"/>
    <w:rsid w:val="00B201A3"/>
    <w:rsid w:val="00B812FF"/>
    <w:rsid w:val="00B95CAA"/>
    <w:rsid w:val="00BB5FE7"/>
    <w:rsid w:val="00BD40E9"/>
    <w:rsid w:val="00BF38DB"/>
    <w:rsid w:val="00C07F61"/>
    <w:rsid w:val="00C24F45"/>
    <w:rsid w:val="00CF1BF6"/>
    <w:rsid w:val="00D135CB"/>
    <w:rsid w:val="00D318FE"/>
    <w:rsid w:val="00D8780E"/>
    <w:rsid w:val="00DA3DE6"/>
    <w:rsid w:val="00DF46B2"/>
    <w:rsid w:val="00E26BCB"/>
    <w:rsid w:val="00E63E4A"/>
    <w:rsid w:val="00E71912"/>
    <w:rsid w:val="00E84DC9"/>
    <w:rsid w:val="00F12886"/>
    <w:rsid w:val="00F844F2"/>
    <w:rsid w:val="00F97FC5"/>
    <w:rsid w:val="00FD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6481C0"/>
  <w14:defaultImageDpi w14:val="32767"/>
  <w15:chartTrackingRefBased/>
  <w15:docId w15:val="{2B1EA817-B0FC-4676-A32D-9EB83E866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9B4"/>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2569B4"/>
    <w:pPr>
      <w:keepNext/>
      <w:numPr>
        <w:numId w:val="1"/>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2569B4"/>
    <w:pPr>
      <w:keepNext/>
      <w:numPr>
        <w:ilvl w:val="1"/>
        <w:numId w:val="1"/>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2569B4"/>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2569B4"/>
    <w:pPr>
      <w:keepNext/>
      <w:numPr>
        <w:ilvl w:val="3"/>
        <w:numId w:val="1"/>
      </w:numPr>
      <w:spacing w:before="240" w:after="60"/>
      <w:outlineLvl w:val="3"/>
    </w:pPr>
    <w:rPr>
      <w:b/>
      <w:bCs/>
      <w:sz w:val="28"/>
      <w:szCs w:val="28"/>
    </w:rPr>
  </w:style>
  <w:style w:type="paragraph" w:styleId="5">
    <w:name w:val="heading 5"/>
    <w:aliases w:val="h5,Heading5,H5"/>
    <w:basedOn w:val="a"/>
    <w:next w:val="a"/>
    <w:link w:val="50"/>
    <w:qFormat/>
    <w:rsid w:val="002569B4"/>
    <w:pPr>
      <w:numPr>
        <w:ilvl w:val="4"/>
        <w:numId w:val="1"/>
      </w:numPr>
      <w:spacing w:before="240" w:after="60"/>
      <w:outlineLvl w:val="4"/>
    </w:pPr>
    <w:rPr>
      <w:b/>
      <w:bCs/>
      <w:i/>
      <w:iCs/>
      <w:sz w:val="26"/>
      <w:szCs w:val="26"/>
    </w:rPr>
  </w:style>
  <w:style w:type="paragraph" w:styleId="6">
    <w:name w:val="heading 6"/>
    <w:basedOn w:val="a"/>
    <w:next w:val="a"/>
    <w:link w:val="60"/>
    <w:qFormat/>
    <w:rsid w:val="002569B4"/>
    <w:pPr>
      <w:numPr>
        <w:ilvl w:val="5"/>
        <w:numId w:val="1"/>
      </w:numPr>
      <w:spacing w:before="240" w:after="60"/>
      <w:outlineLvl w:val="5"/>
    </w:pPr>
    <w:rPr>
      <w:b/>
      <w:bCs/>
    </w:rPr>
  </w:style>
  <w:style w:type="paragraph" w:styleId="7">
    <w:name w:val="heading 7"/>
    <w:basedOn w:val="a"/>
    <w:next w:val="a"/>
    <w:link w:val="70"/>
    <w:qFormat/>
    <w:rsid w:val="002569B4"/>
    <w:pPr>
      <w:numPr>
        <w:ilvl w:val="6"/>
        <w:numId w:val="1"/>
      </w:numPr>
      <w:spacing w:before="240" w:after="60"/>
      <w:outlineLvl w:val="6"/>
    </w:pPr>
    <w:rPr>
      <w:sz w:val="24"/>
      <w:szCs w:val="24"/>
    </w:rPr>
  </w:style>
  <w:style w:type="paragraph" w:styleId="8">
    <w:name w:val="heading 8"/>
    <w:aliases w:val="Table Heading"/>
    <w:basedOn w:val="a"/>
    <w:next w:val="a"/>
    <w:link w:val="80"/>
    <w:qFormat/>
    <w:rsid w:val="002569B4"/>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2569B4"/>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2569B4"/>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2569B4"/>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2569B4"/>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569B4"/>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2569B4"/>
    <w:rPr>
      <w:rFonts w:ascii="Times New Roman" w:hAnsi="Times New Roman" w:cs="Times New Roman"/>
      <w:b/>
      <w:bCs/>
      <w:i/>
      <w:iCs/>
      <w:kern w:val="0"/>
      <w:sz w:val="26"/>
      <w:szCs w:val="26"/>
      <w:lang w:eastAsia="en-US"/>
    </w:rPr>
  </w:style>
  <w:style w:type="character" w:customStyle="1" w:styleId="60">
    <w:name w:val="标题 6 字符"/>
    <w:basedOn w:val="a0"/>
    <w:link w:val="6"/>
    <w:rsid w:val="002569B4"/>
    <w:rPr>
      <w:rFonts w:ascii="Times New Roman" w:hAnsi="Times New Roman" w:cs="Times New Roman"/>
      <w:b/>
      <w:bCs/>
      <w:kern w:val="0"/>
      <w:sz w:val="22"/>
      <w:lang w:eastAsia="en-US"/>
    </w:rPr>
  </w:style>
  <w:style w:type="character" w:customStyle="1" w:styleId="70">
    <w:name w:val="标题 7 字符"/>
    <w:basedOn w:val="a0"/>
    <w:link w:val="7"/>
    <w:rsid w:val="002569B4"/>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2569B4"/>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2569B4"/>
    <w:rPr>
      <w:rFonts w:ascii="Arial" w:hAnsi="Arial" w:cs="Arial"/>
      <w:kern w:val="0"/>
      <w:sz w:val="22"/>
      <w:lang w:eastAsia="en-US"/>
    </w:rPr>
  </w:style>
  <w:style w:type="table" w:styleId="a3">
    <w:name w:val="Table Grid"/>
    <w:aliases w:val="TableGrid"/>
    <w:basedOn w:val="a1"/>
    <w:uiPriority w:val="59"/>
    <w:qFormat/>
    <w:rsid w:val="002569B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5"/>
    <w:uiPriority w:val="34"/>
    <w:qFormat/>
    <w:rsid w:val="002569B4"/>
    <w:pPr>
      <w:ind w:firstLineChars="200" w:firstLine="420"/>
    </w:pPr>
  </w:style>
  <w:style w:type="character" w:customStyle="1" w:styleId="a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4"/>
    <w:uiPriority w:val="34"/>
    <w:qFormat/>
    <w:rsid w:val="002569B4"/>
    <w:rPr>
      <w:rFonts w:ascii="Times New Roman" w:hAnsi="Times New Roman" w:cs="Times New Roman"/>
      <w:kern w:val="0"/>
      <w:sz w:val="22"/>
      <w:lang w:eastAsia="en-US"/>
    </w:rPr>
  </w:style>
  <w:style w:type="character" w:customStyle="1" w:styleId="WW8Num1z0">
    <w:name w:val="WW8Num1z0"/>
    <w:rsid w:val="002569B4"/>
  </w:style>
  <w:style w:type="character" w:customStyle="1" w:styleId="ui-provider">
    <w:name w:val="ui-provider"/>
    <w:rsid w:val="002569B4"/>
  </w:style>
  <w:style w:type="paragraph" w:customStyle="1" w:styleId="b1">
    <w:name w:val="b1"/>
    <w:basedOn w:val="a"/>
    <w:rsid w:val="002569B4"/>
    <w:pPr>
      <w:suppressAutoHyphens/>
      <w:autoSpaceDE/>
      <w:autoSpaceDN/>
      <w:adjustRightInd/>
      <w:snapToGrid/>
      <w:spacing w:before="280" w:after="280"/>
      <w:jc w:val="left"/>
    </w:pPr>
    <w:rPr>
      <w:rFonts w:eastAsia="Times New Roman"/>
      <w:sz w:val="24"/>
      <w:szCs w:val="24"/>
      <w:lang w:eastAsia="ar-SA"/>
    </w:rPr>
  </w:style>
  <w:style w:type="paragraph" w:styleId="a6">
    <w:name w:val="header"/>
    <w:basedOn w:val="a"/>
    <w:link w:val="a7"/>
    <w:uiPriority w:val="99"/>
    <w:unhideWhenUsed/>
    <w:rsid w:val="00E63E4A"/>
    <w:pPr>
      <w:pBdr>
        <w:bottom w:val="single" w:sz="6" w:space="1" w:color="auto"/>
      </w:pBdr>
      <w:tabs>
        <w:tab w:val="center" w:pos="4153"/>
        <w:tab w:val="right" w:pos="8306"/>
      </w:tabs>
      <w:jc w:val="center"/>
    </w:pPr>
    <w:rPr>
      <w:sz w:val="18"/>
      <w:szCs w:val="18"/>
    </w:rPr>
  </w:style>
  <w:style w:type="character" w:customStyle="1" w:styleId="a7">
    <w:name w:val="页眉 字符"/>
    <w:basedOn w:val="a0"/>
    <w:link w:val="a6"/>
    <w:uiPriority w:val="99"/>
    <w:rsid w:val="00E63E4A"/>
    <w:rPr>
      <w:rFonts w:ascii="Times New Roman" w:hAnsi="Times New Roman" w:cs="Times New Roman"/>
      <w:kern w:val="0"/>
      <w:sz w:val="18"/>
      <w:szCs w:val="18"/>
      <w:lang w:eastAsia="en-US"/>
    </w:rPr>
  </w:style>
  <w:style w:type="paragraph" w:styleId="a8">
    <w:name w:val="footer"/>
    <w:basedOn w:val="a"/>
    <w:link w:val="a9"/>
    <w:uiPriority w:val="99"/>
    <w:unhideWhenUsed/>
    <w:rsid w:val="00E63E4A"/>
    <w:pPr>
      <w:tabs>
        <w:tab w:val="center" w:pos="4153"/>
        <w:tab w:val="right" w:pos="8306"/>
      </w:tabs>
      <w:jc w:val="left"/>
    </w:pPr>
    <w:rPr>
      <w:sz w:val="18"/>
      <w:szCs w:val="18"/>
    </w:rPr>
  </w:style>
  <w:style w:type="character" w:customStyle="1" w:styleId="a9">
    <w:name w:val="页脚 字符"/>
    <w:basedOn w:val="a0"/>
    <w:link w:val="a8"/>
    <w:uiPriority w:val="99"/>
    <w:rsid w:val="00E63E4A"/>
    <w:rPr>
      <w:rFonts w:ascii="Times New Roman" w:hAnsi="Times New Roman" w:cs="Times New Roman"/>
      <w:kern w:val="0"/>
      <w:sz w:val="18"/>
      <w:szCs w:val="18"/>
      <w:lang w:eastAsia="en-US"/>
    </w:rPr>
  </w:style>
  <w:style w:type="paragraph" w:customStyle="1" w:styleId="TAL">
    <w:name w:val="TAL"/>
    <w:basedOn w:val="a"/>
    <w:link w:val="TALCar"/>
    <w:qFormat/>
    <w:rsid w:val="00BF38DB"/>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BF38DB"/>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732138">
      <w:bodyDiv w:val="1"/>
      <w:marLeft w:val="0"/>
      <w:marRight w:val="0"/>
      <w:marTop w:val="0"/>
      <w:marBottom w:val="0"/>
      <w:divBdr>
        <w:top w:val="none" w:sz="0" w:space="0" w:color="auto"/>
        <w:left w:val="none" w:sz="0" w:space="0" w:color="auto"/>
        <w:bottom w:val="none" w:sz="0" w:space="0" w:color="auto"/>
        <w:right w:val="none" w:sz="0" w:space="0" w:color="auto"/>
      </w:divBdr>
      <w:divsChild>
        <w:div w:id="462970373">
          <w:marLeft w:val="0"/>
          <w:marRight w:val="0"/>
          <w:marTop w:val="0"/>
          <w:marBottom w:val="0"/>
          <w:divBdr>
            <w:top w:val="none" w:sz="0" w:space="0" w:color="auto"/>
            <w:left w:val="none" w:sz="0" w:space="0" w:color="auto"/>
            <w:bottom w:val="none" w:sz="0" w:space="0" w:color="auto"/>
            <w:right w:val="none" w:sz="0" w:space="0" w:color="auto"/>
          </w:divBdr>
          <w:divsChild>
            <w:div w:id="1027095293">
              <w:marLeft w:val="0"/>
              <w:marRight w:val="0"/>
              <w:marTop w:val="0"/>
              <w:marBottom w:val="0"/>
              <w:divBdr>
                <w:top w:val="none" w:sz="0" w:space="0" w:color="auto"/>
                <w:left w:val="none" w:sz="0" w:space="0" w:color="auto"/>
                <w:bottom w:val="none" w:sz="0" w:space="0" w:color="auto"/>
                <w:right w:val="none" w:sz="0" w:space="0" w:color="auto"/>
              </w:divBdr>
              <w:divsChild>
                <w:div w:id="1438481008">
                  <w:marLeft w:val="0"/>
                  <w:marRight w:val="0"/>
                  <w:marTop w:val="0"/>
                  <w:marBottom w:val="0"/>
                  <w:divBdr>
                    <w:top w:val="none" w:sz="0" w:space="0" w:color="auto"/>
                    <w:left w:val="none" w:sz="0" w:space="0" w:color="auto"/>
                    <w:bottom w:val="none" w:sz="0" w:space="0" w:color="auto"/>
                    <w:right w:val="none" w:sz="0" w:space="0" w:color="auto"/>
                  </w:divBdr>
                  <w:divsChild>
                    <w:div w:id="1251550694">
                      <w:marLeft w:val="0"/>
                      <w:marRight w:val="0"/>
                      <w:marTop w:val="0"/>
                      <w:marBottom w:val="0"/>
                      <w:divBdr>
                        <w:top w:val="none" w:sz="0" w:space="0" w:color="auto"/>
                        <w:left w:val="none" w:sz="0" w:space="0" w:color="auto"/>
                        <w:bottom w:val="none" w:sz="0" w:space="0" w:color="auto"/>
                        <w:right w:val="none" w:sz="0" w:space="0" w:color="auto"/>
                      </w:divBdr>
                      <w:divsChild>
                        <w:div w:id="1891453912">
                          <w:marLeft w:val="0"/>
                          <w:marRight w:val="75"/>
                          <w:marTop w:val="0"/>
                          <w:marBottom w:val="0"/>
                          <w:divBdr>
                            <w:top w:val="none" w:sz="0" w:space="0" w:color="auto"/>
                            <w:left w:val="none" w:sz="0" w:space="0" w:color="auto"/>
                            <w:bottom w:val="none" w:sz="0" w:space="0" w:color="auto"/>
                            <w:right w:val="none" w:sz="0" w:space="0" w:color="auto"/>
                          </w:divBdr>
                        </w:div>
                      </w:divsChild>
                    </w:div>
                    <w:div w:id="1311405647">
                      <w:marLeft w:val="0"/>
                      <w:marRight w:val="0"/>
                      <w:marTop w:val="0"/>
                      <w:marBottom w:val="0"/>
                      <w:divBdr>
                        <w:top w:val="none" w:sz="0" w:space="0" w:color="auto"/>
                        <w:left w:val="none" w:sz="0" w:space="0" w:color="auto"/>
                        <w:bottom w:val="none" w:sz="0" w:space="0" w:color="auto"/>
                        <w:right w:val="none" w:sz="0" w:space="0" w:color="auto"/>
                      </w:divBdr>
                      <w:divsChild>
                        <w:div w:id="24722751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818223">
          <w:marLeft w:val="0"/>
          <w:marRight w:val="0"/>
          <w:marTop w:val="0"/>
          <w:marBottom w:val="0"/>
          <w:divBdr>
            <w:top w:val="none" w:sz="0" w:space="0" w:color="auto"/>
            <w:left w:val="none" w:sz="0" w:space="0" w:color="auto"/>
            <w:bottom w:val="none" w:sz="0" w:space="0" w:color="auto"/>
            <w:right w:val="none" w:sz="0" w:space="0" w:color="auto"/>
          </w:divBdr>
          <w:divsChild>
            <w:div w:id="99422810">
              <w:marLeft w:val="0"/>
              <w:marRight w:val="0"/>
              <w:marTop w:val="0"/>
              <w:marBottom w:val="0"/>
              <w:divBdr>
                <w:top w:val="none" w:sz="0" w:space="0" w:color="auto"/>
                <w:left w:val="none" w:sz="0" w:space="0" w:color="auto"/>
                <w:bottom w:val="none" w:sz="0" w:space="0" w:color="auto"/>
                <w:right w:val="none" w:sz="0" w:space="0" w:color="auto"/>
              </w:divBdr>
              <w:divsChild>
                <w:div w:id="1977493433">
                  <w:marLeft w:val="0"/>
                  <w:marRight w:val="0"/>
                  <w:marTop w:val="0"/>
                  <w:marBottom w:val="0"/>
                  <w:divBdr>
                    <w:top w:val="none" w:sz="0" w:space="0" w:color="auto"/>
                    <w:left w:val="none" w:sz="0" w:space="0" w:color="auto"/>
                    <w:bottom w:val="none" w:sz="0" w:space="0" w:color="auto"/>
                    <w:right w:val="none" w:sz="0" w:space="0" w:color="auto"/>
                  </w:divBdr>
                  <w:divsChild>
                    <w:div w:id="1998998510">
                      <w:marLeft w:val="0"/>
                      <w:marRight w:val="0"/>
                      <w:marTop w:val="0"/>
                      <w:marBottom w:val="0"/>
                      <w:divBdr>
                        <w:top w:val="none" w:sz="0" w:space="0" w:color="auto"/>
                        <w:left w:val="none" w:sz="0" w:space="0" w:color="auto"/>
                        <w:bottom w:val="none" w:sz="0" w:space="0" w:color="auto"/>
                        <w:right w:val="none" w:sz="0" w:space="0" w:color="auto"/>
                      </w:divBdr>
                      <w:divsChild>
                        <w:div w:id="427236934">
                          <w:marLeft w:val="0"/>
                          <w:marRight w:val="0"/>
                          <w:marTop w:val="0"/>
                          <w:marBottom w:val="0"/>
                          <w:divBdr>
                            <w:top w:val="none" w:sz="0" w:space="0" w:color="auto"/>
                            <w:left w:val="none" w:sz="0" w:space="0" w:color="auto"/>
                            <w:bottom w:val="none" w:sz="0" w:space="0" w:color="auto"/>
                            <w:right w:val="none" w:sz="0" w:space="0" w:color="auto"/>
                          </w:divBdr>
                          <w:divsChild>
                            <w:div w:id="4611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212143">
              <w:marLeft w:val="0"/>
              <w:marRight w:val="0"/>
              <w:marTop w:val="0"/>
              <w:marBottom w:val="0"/>
              <w:divBdr>
                <w:top w:val="none" w:sz="0" w:space="0" w:color="auto"/>
                <w:left w:val="none" w:sz="0" w:space="0" w:color="auto"/>
                <w:bottom w:val="none" w:sz="0" w:space="0" w:color="auto"/>
                <w:right w:val="none" w:sz="0" w:space="0" w:color="auto"/>
              </w:divBdr>
              <w:divsChild>
                <w:div w:id="11575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1792</TotalTime>
  <Pages>4</Pages>
  <Words>1221</Words>
  <Characters>6966</Characters>
  <Application>Microsoft Office Word</Application>
  <DocSecurity>0</DocSecurity>
  <Lines>58</Lines>
  <Paragraphs>16</Paragraphs>
  <ScaleCrop>false</ScaleCrop>
  <Company>Win10</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16</cp:revision>
  <dcterms:created xsi:type="dcterms:W3CDTF">2025-02-07T08:56:00Z</dcterms:created>
  <dcterms:modified xsi:type="dcterms:W3CDTF">2025-05-08T03:02:00Z</dcterms:modified>
</cp:coreProperties>
</file>